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086B" w14:textId="77777777" w:rsidR="000451E6" w:rsidRPr="004A0AA5" w:rsidRDefault="000451E6" w:rsidP="000451E6">
      <w:pPr>
        <w:tabs>
          <w:tab w:val="center" w:pos="5083"/>
          <w:tab w:val="left" w:pos="8055"/>
        </w:tabs>
        <w:ind w:right="-105"/>
        <w:jc w:val="center"/>
        <w:rPr>
          <w:rFonts w:ascii="Calibri Light" w:hAnsi="Calibri Light" w:cs="Calibri Light"/>
          <w:b/>
          <w:sz w:val="24"/>
          <w:szCs w:val="24"/>
        </w:rPr>
      </w:pPr>
      <w:r w:rsidRPr="004A0AA5">
        <w:rPr>
          <w:rFonts w:ascii="Calibri Light" w:hAnsi="Calibri Light" w:cs="Calibri Light"/>
          <w:b/>
          <w:sz w:val="24"/>
          <w:szCs w:val="24"/>
        </w:rPr>
        <w:t>BQ Solutions Job Description</w:t>
      </w:r>
    </w:p>
    <w:p w14:paraId="0B26CEAF" w14:textId="77777777" w:rsidR="000451E6" w:rsidRPr="004A0AA5" w:rsidRDefault="000451E6" w:rsidP="000451E6">
      <w:pPr>
        <w:tabs>
          <w:tab w:val="center" w:pos="5083"/>
          <w:tab w:val="left" w:pos="8055"/>
        </w:tabs>
        <w:ind w:right="-105"/>
        <w:jc w:val="center"/>
        <w:rPr>
          <w:rFonts w:ascii="Calibri Light" w:hAnsi="Calibri Light" w:cs="Calibri Light"/>
          <w:color w:val="808080" w:themeColor="background1" w:themeShade="80"/>
          <w:sz w:val="20"/>
          <w:szCs w:val="20"/>
          <w:shd w:val="clear" w:color="auto" w:fill="FFFFFF"/>
        </w:rPr>
      </w:pPr>
      <w:r w:rsidRPr="004A0AA5">
        <w:rPr>
          <w:rFonts w:ascii="Calibri Light" w:hAnsi="Calibri Light" w:cs="Calibri Light"/>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40" w:type="dxa"/>
        <w:tblInd w:w="-1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700"/>
        <w:gridCol w:w="8640"/>
      </w:tblGrid>
      <w:tr w:rsidR="000451E6" w:rsidRPr="004A0AA5" w14:paraId="5B4FFFFA" w14:textId="77777777" w:rsidTr="00AA26D1">
        <w:trPr>
          <w:trHeight w:val="228"/>
        </w:trPr>
        <w:tc>
          <w:tcPr>
            <w:tcW w:w="11340"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6AD3D2EF" w14:textId="77777777" w:rsidR="000451E6" w:rsidRPr="004A0AA5" w:rsidRDefault="000451E6" w:rsidP="00AA26D1">
            <w:pPr>
              <w:pStyle w:val="Heading5"/>
              <w:spacing w:after="40"/>
              <w:ind w:left="-284" w:right="764" w:firstLine="284"/>
              <w:rPr>
                <w:rFonts w:ascii="Calibri Light" w:hAnsi="Calibri Light" w:cs="Calibri Light"/>
                <w:b/>
                <w:bCs/>
                <w:color w:val="FFFFFF"/>
              </w:rPr>
            </w:pPr>
            <w:r w:rsidRPr="004A0AA5">
              <w:rPr>
                <w:rFonts w:ascii="Calibri Light" w:hAnsi="Calibri Light" w:cs="Calibri Light"/>
                <w:b/>
                <w:bCs/>
                <w:color w:val="FFFFFF"/>
              </w:rPr>
              <w:t>OVERVIEW</w:t>
            </w:r>
          </w:p>
        </w:tc>
      </w:tr>
      <w:tr w:rsidR="000451E6" w:rsidRPr="004A0AA5" w14:paraId="048FF553" w14:textId="77777777" w:rsidTr="00AA2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700" w:type="dxa"/>
            <w:tcBorders>
              <w:top w:val="single" w:sz="6" w:space="0" w:color="auto"/>
              <w:left w:val="single" w:sz="12" w:space="0" w:color="004A82"/>
            </w:tcBorders>
            <w:shd w:val="clear" w:color="auto" w:fill="595959"/>
            <w:vAlign w:val="center"/>
          </w:tcPr>
          <w:p w14:paraId="271BFC0E" w14:textId="77777777" w:rsidR="000451E6" w:rsidRPr="004A0AA5" w:rsidRDefault="000451E6" w:rsidP="00AA26D1">
            <w:pPr>
              <w:pStyle w:val="bullet"/>
              <w:spacing w:before="40" w:after="40"/>
              <w:ind w:left="34"/>
              <w:rPr>
                <w:rFonts w:ascii="Calibri Light" w:hAnsi="Calibri Light" w:cs="Calibri Light"/>
                <w:color w:val="FFFFFF"/>
                <w:sz w:val="22"/>
                <w:szCs w:val="22"/>
              </w:rPr>
            </w:pPr>
            <w:r w:rsidRPr="004A0AA5">
              <w:rPr>
                <w:rFonts w:ascii="Calibri Light" w:hAnsi="Calibri Light" w:cs="Calibri Light"/>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77A15D94" w14:textId="2776D74E" w:rsidR="000451E6" w:rsidRPr="004A0AA5" w:rsidRDefault="008D71DC" w:rsidP="00AA26D1">
            <w:pPr>
              <w:pStyle w:val="bullet"/>
              <w:spacing w:before="40" w:after="40"/>
              <w:rPr>
                <w:rFonts w:ascii="Calibri Light" w:hAnsi="Calibri Light" w:cs="Calibri Light"/>
                <w:color w:val="222A35"/>
                <w:sz w:val="22"/>
                <w:szCs w:val="22"/>
              </w:rPr>
            </w:pPr>
            <w:r>
              <w:rPr>
                <w:rFonts w:ascii="Calibri Light" w:hAnsi="Calibri Light" w:cs="Calibri Light"/>
                <w:color w:val="222A35"/>
                <w:sz w:val="22"/>
                <w:szCs w:val="22"/>
              </w:rPr>
              <w:t>C2</w:t>
            </w:r>
          </w:p>
        </w:tc>
      </w:tr>
      <w:tr w:rsidR="000451E6" w:rsidRPr="004A0AA5" w14:paraId="3A0E53E0" w14:textId="77777777" w:rsidTr="00AA2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700" w:type="dxa"/>
            <w:tcBorders>
              <w:top w:val="single" w:sz="6" w:space="0" w:color="auto"/>
              <w:left w:val="single" w:sz="12" w:space="0" w:color="004A82"/>
            </w:tcBorders>
            <w:shd w:val="clear" w:color="auto" w:fill="595959"/>
            <w:vAlign w:val="center"/>
          </w:tcPr>
          <w:p w14:paraId="21C31CB0" w14:textId="77777777" w:rsidR="000451E6" w:rsidRPr="004A0AA5" w:rsidRDefault="000451E6" w:rsidP="00AA26D1">
            <w:pPr>
              <w:pStyle w:val="bullet"/>
              <w:spacing w:before="40" w:after="40"/>
              <w:ind w:left="34"/>
              <w:rPr>
                <w:rFonts w:ascii="Calibri Light" w:hAnsi="Calibri Light" w:cs="Calibri Light"/>
                <w:color w:val="FFFFFF"/>
                <w:sz w:val="22"/>
                <w:szCs w:val="22"/>
              </w:rPr>
            </w:pPr>
            <w:r w:rsidRPr="004A0AA5">
              <w:rPr>
                <w:rFonts w:ascii="Calibri Light" w:hAnsi="Calibri Light" w:cs="Calibri Light"/>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553053DE" w14:textId="30EDEEE4" w:rsidR="000451E6" w:rsidRPr="00437E25" w:rsidRDefault="00437E25" w:rsidP="00AA26D1">
            <w:pPr>
              <w:pStyle w:val="bullet"/>
              <w:spacing w:before="40" w:after="40"/>
              <w:rPr>
                <w:rFonts w:ascii="Calibri Light" w:hAnsi="Calibri Light" w:cs="Calibri Light"/>
                <w:color w:val="222A35"/>
                <w:sz w:val="24"/>
                <w:szCs w:val="24"/>
              </w:rPr>
            </w:pPr>
            <w:r w:rsidRPr="00437E25">
              <w:rPr>
                <w:rFonts w:ascii="Calibri Light" w:hAnsi="Calibri Light" w:cs="Calibri Light"/>
                <w:sz w:val="24"/>
                <w:szCs w:val="24"/>
              </w:rPr>
              <w:t>Bids &amp; Contracts Lead</w:t>
            </w:r>
          </w:p>
        </w:tc>
      </w:tr>
      <w:tr w:rsidR="000451E6" w:rsidRPr="004A0AA5" w14:paraId="3A0165F9" w14:textId="77777777" w:rsidTr="00AA2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700" w:type="dxa"/>
            <w:tcBorders>
              <w:left w:val="single" w:sz="12" w:space="0" w:color="004A82"/>
              <w:right w:val="single" w:sz="4" w:space="0" w:color="auto"/>
            </w:tcBorders>
            <w:shd w:val="clear" w:color="auto" w:fill="595959"/>
            <w:vAlign w:val="center"/>
          </w:tcPr>
          <w:p w14:paraId="52B48540" w14:textId="77777777" w:rsidR="000451E6" w:rsidRPr="004A0AA5" w:rsidRDefault="000451E6" w:rsidP="00AA26D1">
            <w:pPr>
              <w:spacing w:before="40" w:after="40"/>
              <w:ind w:left="34"/>
              <w:rPr>
                <w:rFonts w:ascii="Calibri Light" w:hAnsi="Calibri Light" w:cs="Calibri Light"/>
                <w:color w:val="FFFFFF"/>
              </w:rPr>
            </w:pPr>
            <w:r w:rsidRPr="004A0AA5">
              <w:rPr>
                <w:rFonts w:ascii="Calibri Light" w:hAnsi="Calibri Light" w:cs="Calibri Light"/>
                <w:color w:val="FFFFFF"/>
              </w:rPr>
              <w:t>Strategic Business Unit</w:t>
            </w:r>
          </w:p>
        </w:tc>
        <w:tc>
          <w:tcPr>
            <w:tcW w:w="8640" w:type="dxa"/>
            <w:tcBorders>
              <w:right w:val="single" w:sz="12" w:space="0" w:color="004A82"/>
            </w:tcBorders>
            <w:vAlign w:val="center"/>
          </w:tcPr>
          <w:p w14:paraId="7268D006" w14:textId="77777777" w:rsidR="000451E6" w:rsidRPr="004A0AA5" w:rsidRDefault="000451E6" w:rsidP="00AA26D1">
            <w:pPr>
              <w:spacing w:before="40" w:after="40"/>
              <w:ind w:left="-21" w:firstLine="21"/>
              <w:rPr>
                <w:rFonts w:ascii="Calibri Light" w:hAnsi="Calibri Light" w:cs="Calibri Light"/>
                <w:color w:val="222A35"/>
              </w:rPr>
            </w:pPr>
            <w:r w:rsidRPr="004A0AA5">
              <w:rPr>
                <w:rFonts w:ascii="Calibri Light" w:hAnsi="Calibri Light" w:cs="Calibri Light"/>
                <w:color w:val="222A35"/>
              </w:rPr>
              <w:fldChar w:fldCharType="begin">
                <w:ffData>
                  <w:name w:val="Check2"/>
                  <w:enabled/>
                  <w:calcOnExit w:val="0"/>
                  <w:checkBox>
                    <w:sizeAuto/>
                    <w:default w:val="1"/>
                  </w:checkBox>
                </w:ffData>
              </w:fldChar>
            </w:r>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r w:rsidRPr="004A0AA5">
              <w:rPr>
                <w:rFonts w:ascii="Calibri Light" w:hAnsi="Calibri Light" w:cs="Calibri Light"/>
                <w:color w:val="222A35"/>
              </w:rPr>
              <w:t xml:space="preserve"> BQ Solutions     </w:t>
            </w:r>
            <w:r w:rsidRPr="004A0AA5">
              <w:rPr>
                <w:rFonts w:ascii="Calibri Light" w:hAnsi="Calibri Light" w:cs="Calibri Light"/>
                <w:color w:val="222A35"/>
              </w:rPr>
              <w:fldChar w:fldCharType="begin">
                <w:ffData>
                  <w:name w:val="Check4"/>
                  <w:enabled/>
                  <w:calcOnExit w:val="0"/>
                  <w:checkBox>
                    <w:sizeAuto/>
                    <w:default w:val="0"/>
                  </w:checkBox>
                </w:ffData>
              </w:fldChar>
            </w:r>
            <w:bookmarkStart w:id="0" w:name="Check4"/>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bookmarkEnd w:id="0"/>
            <w:r w:rsidRPr="004A0AA5">
              <w:rPr>
                <w:rFonts w:ascii="Calibri Light" w:hAnsi="Calibri Light" w:cs="Calibri Light"/>
                <w:color w:val="222A35"/>
              </w:rPr>
              <w:t xml:space="preserve"> Barzan Holdings  </w:t>
            </w:r>
            <w:r w:rsidRPr="004A0AA5">
              <w:rPr>
                <w:rFonts w:ascii="Calibri Light" w:hAnsi="Calibri Light" w:cs="Calibri Light"/>
                <w:color w:val="222A35"/>
              </w:rPr>
              <w:fldChar w:fldCharType="begin">
                <w:ffData>
                  <w:name w:val="Check4"/>
                  <w:enabled/>
                  <w:calcOnExit w:val="0"/>
                  <w:checkBox>
                    <w:sizeAuto/>
                    <w:default w:val="0"/>
                  </w:checkBox>
                </w:ffData>
              </w:fldChar>
            </w:r>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r w:rsidRPr="004A0AA5">
              <w:rPr>
                <w:rFonts w:ascii="Calibri Light" w:hAnsi="Calibri Light" w:cs="Calibri Light"/>
                <w:color w:val="222A35"/>
              </w:rPr>
              <w:t xml:space="preserve"> Other JVs …………</w:t>
            </w:r>
            <w:proofErr w:type="gramStart"/>
            <w:r w:rsidRPr="004A0AA5">
              <w:rPr>
                <w:rFonts w:ascii="Calibri Light" w:hAnsi="Calibri Light" w:cs="Calibri Light"/>
                <w:color w:val="222A35"/>
              </w:rPr>
              <w:t>…..</w:t>
            </w:r>
            <w:proofErr w:type="gramEnd"/>
          </w:p>
        </w:tc>
      </w:tr>
      <w:tr w:rsidR="000451E6" w:rsidRPr="004A0AA5" w14:paraId="752E7F1B" w14:textId="77777777" w:rsidTr="00AA2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700" w:type="dxa"/>
            <w:tcBorders>
              <w:left w:val="single" w:sz="12" w:space="0" w:color="004A82"/>
              <w:right w:val="single" w:sz="4" w:space="0" w:color="auto"/>
            </w:tcBorders>
            <w:shd w:val="clear" w:color="auto" w:fill="595959"/>
            <w:vAlign w:val="center"/>
          </w:tcPr>
          <w:p w14:paraId="62B1DB98" w14:textId="77777777" w:rsidR="000451E6" w:rsidRPr="004A0AA5" w:rsidRDefault="000451E6" w:rsidP="00AA26D1">
            <w:pPr>
              <w:spacing w:before="40" w:after="40"/>
              <w:rPr>
                <w:rFonts w:ascii="Calibri Light" w:hAnsi="Calibri Light" w:cs="Calibri Light"/>
                <w:color w:val="FFFFFF"/>
              </w:rPr>
            </w:pPr>
            <w:r w:rsidRPr="004A0AA5">
              <w:rPr>
                <w:rFonts w:ascii="Calibri Light" w:hAnsi="Calibri Light" w:cs="Calibri Light"/>
                <w:color w:val="FFFFFF"/>
              </w:rPr>
              <w:t>Department</w:t>
            </w:r>
          </w:p>
        </w:tc>
        <w:tc>
          <w:tcPr>
            <w:tcW w:w="8640" w:type="dxa"/>
            <w:tcBorders>
              <w:right w:val="single" w:sz="12" w:space="0" w:color="004A82"/>
            </w:tcBorders>
            <w:shd w:val="clear" w:color="auto" w:fill="FFFFFF"/>
            <w:vAlign w:val="center"/>
          </w:tcPr>
          <w:p w14:paraId="5C4243C3" w14:textId="2E1C05D0" w:rsidR="000451E6" w:rsidRPr="004A0AA5" w:rsidRDefault="00437E25" w:rsidP="00AA26D1">
            <w:pPr>
              <w:spacing w:before="40" w:after="40"/>
              <w:ind w:left="-21" w:firstLine="21"/>
              <w:rPr>
                <w:rFonts w:ascii="Calibri Light" w:hAnsi="Calibri Light" w:cs="Calibri Light"/>
                <w:color w:val="222A35"/>
              </w:rPr>
            </w:pPr>
            <w:r>
              <w:rPr>
                <w:rFonts w:ascii="Calibri Light" w:hAnsi="Calibri Light" w:cs="Calibri Light"/>
                <w:color w:val="222A35"/>
              </w:rPr>
              <w:t>BD</w:t>
            </w:r>
          </w:p>
        </w:tc>
      </w:tr>
      <w:tr w:rsidR="000451E6" w:rsidRPr="004A0AA5" w14:paraId="5450D5FD" w14:textId="77777777" w:rsidTr="00AA2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700" w:type="dxa"/>
            <w:tcBorders>
              <w:left w:val="single" w:sz="12" w:space="0" w:color="004A82"/>
              <w:bottom w:val="single" w:sz="4" w:space="0" w:color="auto"/>
            </w:tcBorders>
            <w:shd w:val="clear" w:color="auto" w:fill="595959"/>
            <w:vAlign w:val="center"/>
          </w:tcPr>
          <w:p w14:paraId="13CF24E6" w14:textId="77777777" w:rsidR="000451E6" w:rsidRPr="004A0AA5" w:rsidRDefault="000451E6" w:rsidP="00AA26D1">
            <w:pPr>
              <w:spacing w:before="40" w:after="40"/>
              <w:rPr>
                <w:rFonts w:ascii="Calibri Light" w:hAnsi="Calibri Light" w:cs="Calibri Light"/>
                <w:color w:val="FFFFFF"/>
              </w:rPr>
            </w:pPr>
            <w:r w:rsidRPr="004A0AA5">
              <w:rPr>
                <w:rFonts w:ascii="Calibri Light" w:hAnsi="Calibri Light" w:cs="Calibri Light"/>
                <w:color w:val="FFFFFF"/>
              </w:rPr>
              <w:t>Reports to</w:t>
            </w:r>
          </w:p>
        </w:tc>
        <w:tc>
          <w:tcPr>
            <w:tcW w:w="8640" w:type="dxa"/>
            <w:tcBorders>
              <w:bottom w:val="single" w:sz="4" w:space="0" w:color="auto"/>
              <w:right w:val="single" w:sz="12" w:space="0" w:color="004A82"/>
            </w:tcBorders>
            <w:vAlign w:val="center"/>
          </w:tcPr>
          <w:p w14:paraId="0CC74939" w14:textId="7AEF6201" w:rsidR="000451E6" w:rsidRPr="004A0AA5" w:rsidRDefault="00437E25" w:rsidP="00AA26D1">
            <w:pPr>
              <w:spacing w:before="40" w:after="40"/>
              <w:ind w:left="-30"/>
              <w:rPr>
                <w:rFonts w:ascii="Calibri Light" w:hAnsi="Calibri Light" w:cs="Calibri Light"/>
                <w:iCs/>
                <w:color w:val="222A35"/>
              </w:rPr>
            </w:pPr>
            <w:r>
              <w:rPr>
                <w:rFonts w:ascii="Calibri Light" w:hAnsi="Calibri Light" w:cs="Calibri Light"/>
                <w:iCs/>
                <w:color w:val="222A35"/>
              </w:rPr>
              <w:t>Commercial Manager</w:t>
            </w:r>
          </w:p>
        </w:tc>
      </w:tr>
    </w:tbl>
    <w:p w14:paraId="3C2E3349" w14:textId="77777777" w:rsidR="000451E6" w:rsidRPr="004A0AA5" w:rsidRDefault="000451E6" w:rsidP="000451E6">
      <w:pPr>
        <w:ind w:firstLine="288"/>
        <w:rPr>
          <w:rFonts w:ascii="Calibri Light" w:hAnsi="Calibri Light" w:cs="Calibri Light"/>
        </w:rPr>
      </w:pPr>
    </w:p>
    <w:tbl>
      <w:tblPr>
        <w:tblW w:w="11335" w:type="dxa"/>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6061"/>
      </w:tblGrid>
      <w:tr w:rsidR="000451E6" w:rsidRPr="004A0AA5" w14:paraId="63CD6669" w14:textId="77777777" w:rsidTr="00AA26D1">
        <w:trPr>
          <w:trHeight w:val="282"/>
        </w:trPr>
        <w:tc>
          <w:tcPr>
            <w:tcW w:w="11335" w:type="dxa"/>
            <w:gridSpan w:val="2"/>
            <w:tcBorders>
              <w:top w:val="single" w:sz="12" w:space="0" w:color="004A82"/>
              <w:left w:val="single" w:sz="12" w:space="0" w:color="004A82"/>
              <w:right w:val="single" w:sz="12" w:space="0" w:color="004A82"/>
            </w:tcBorders>
            <w:shd w:val="clear" w:color="auto" w:fill="595959"/>
            <w:vAlign w:val="center"/>
          </w:tcPr>
          <w:p w14:paraId="53725255" w14:textId="77777777" w:rsidR="000451E6" w:rsidRPr="004A0AA5" w:rsidRDefault="000451E6" w:rsidP="00AA26D1">
            <w:pPr>
              <w:pStyle w:val="Heading5"/>
              <w:spacing w:after="40"/>
              <w:ind w:left="-284" w:firstLine="284"/>
              <w:rPr>
                <w:rFonts w:ascii="Calibri Light" w:hAnsi="Calibri Light" w:cs="Calibri Light"/>
                <w:b/>
                <w:bCs/>
                <w:color w:val="FF0000"/>
              </w:rPr>
            </w:pPr>
            <w:r w:rsidRPr="004A0AA5">
              <w:rPr>
                <w:rFonts w:ascii="Calibri Light" w:hAnsi="Calibri Light" w:cs="Calibri Light"/>
                <w:b/>
                <w:bCs/>
                <w:color w:val="FFFFFF"/>
              </w:rPr>
              <w:t>QUALIFICATIONS/REQUIREMENTS</w:t>
            </w:r>
          </w:p>
        </w:tc>
      </w:tr>
      <w:tr w:rsidR="000451E6" w:rsidRPr="00DB6262" w14:paraId="0F0FAE9C" w14:textId="77777777" w:rsidTr="00AA26D1">
        <w:trPr>
          <w:trHeight w:val="527"/>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59DEBAB0" w14:textId="77777777" w:rsidR="000451E6" w:rsidRPr="00DB6262" w:rsidRDefault="000451E6" w:rsidP="00AA26D1">
            <w:pPr>
              <w:spacing w:before="40" w:after="40"/>
              <w:rPr>
                <w:rFonts w:asciiTheme="majorHAnsi" w:hAnsiTheme="majorHAnsi" w:cstheme="majorHAnsi"/>
                <w:color w:val="FFFFFF"/>
                <w:sz w:val="24"/>
                <w:szCs w:val="24"/>
              </w:rPr>
            </w:pPr>
            <w:r w:rsidRPr="00DB6262">
              <w:rPr>
                <w:rFonts w:asciiTheme="majorHAnsi" w:hAnsiTheme="majorHAnsi" w:cstheme="majorHAnsi"/>
                <w:color w:val="FFFFFF"/>
                <w:sz w:val="24"/>
                <w:szCs w:val="24"/>
              </w:rPr>
              <w:t>Job specific technical Skills</w:t>
            </w:r>
          </w:p>
        </w:tc>
        <w:tc>
          <w:tcPr>
            <w:tcW w:w="6061" w:type="dxa"/>
            <w:tcBorders>
              <w:left w:val="single" w:sz="4" w:space="0" w:color="auto"/>
              <w:right w:val="single" w:sz="12" w:space="0" w:color="004A82"/>
            </w:tcBorders>
          </w:tcPr>
          <w:p w14:paraId="5650C61F" w14:textId="77777777" w:rsidR="008F76C6" w:rsidRPr="00DB6262" w:rsidRDefault="008F76C6" w:rsidP="008F76C6">
            <w:pPr>
              <w:rPr>
                <w:rFonts w:asciiTheme="majorHAnsi" w:hAnsiTheme="majorHAnsi" w:cstheme="majorHAnsi"/>
                <w:b/>
                <w:bCs/>
                <w:sz w:val="24"/>
                <w:szCs w:val="24"/>
              </w:rPr>
            </w:pPr>
            <w:r w:rsidRPr="00DB6262">
              <w:rPr>
                <w:rFonts w:asciiTheme="majorHAnsi" w:hAnsiTheme="majorHAnsi" w:cstheme="majorHAnsi"/>
                <w:b/>
                <w:bCs/>
                <w:sz w:val="24"/>
                <w:szCs w:val="24"/>
              </w:rPr>
              <w:t>Role Purpose</w:t>
            </w:r>
          </w:p>
          <w:p w14:paraId="73CD6F6C" w14:textId="77777777" w:rsidR="008F76C6" w:rsidRPr="00DB6262" w:rsidRDefault="008F76C6" w:rsidP="008F76C6">
            <w:pPr>
              <w:rPr>
                <w:rFonts w:asciiTheme="majorHAnsi" w:hAnsiTheme="majorHAnsi" w:cstheme="majorHAnsi"/>
                <w:sz w:val="24"/>
                <w:szCs w:val="24"/>
              </w:rPr>
            </w:pPr>
            <w:r w:rsidRPr="00DB6262">
              <w:rPr>
                <w:rFonts w:asciiTheme="majorHAnsi" w:hAnsiTheme="majorHAnsi" w:cstheme="majorHAnsi"/>
                <w:sz w:val="24"/>
                <w:szCs w:val="24"/>
              </w:rPr>
              <w:t>To lead the development and submission of high-quality bids and proposals, while supporting the coordination and review of contracts to ensure alignment with commercial, operational, and risk requirements. The role plays a key part in securing new business and enabling a smooth transition from award to delivery.</w:t>
            </w:r>
          </w:p>
          <w:p w14:paraId="7BB8F980" w14:textId="77777777" w:rsidR="00834C93" w:rsidRPr="00DB6262" w:rsidRDefault="00834C93" w:rsidP="00834C93">
            <w:pPr>
              <w:rPr>
                <w:rFonts w:asciiTheme="majorHAnsi" w:hAnsiTheme="majorHAnsi" w:cstheme="majorHAnsi"/>
                <w:b/>
                <w:bCs/>
                <w:sz w:val="24"/>
                <w:szCs w:val="24"/>
              </w:rPr>
            </w:pPr>
            <w:r w:rsidRPr="00DB6262">
              <w:rPr>
                <w:rFonts w:asciiTheme="majorHAnsi" w:hAnsiTheme="majorHAnsi" w:cstheme="majorHAnsi"/>
                <w:b/>
                <w:bCs/>
                <w:sz w:val="24"/>
                <w:szCs w:val="24"/>
              </w:rPr>
              <w:t>Key Responsibilities</w:t>
            </w:r>
          </w:p>
          <w:p w14:paraId="02488B94" w14:textId="77777777" w:rsidR="00834C93" w:rsidRPr="00DB6262" w:rsidRDefault="00834C93" w:rsidP="00834C93">
            <w:pPr>
              <w:rPr>
                <w:rFonts w:asciiTheme="majorHAnsi" w:hAnsiTheme="majorHAnsi" w:cstheme="majorHAnsi"/>
                <w:sz w:val="24"/>
                <w:szCs w:val="24"/>
              </w:rPr>
            </w:pPr>
            <w:r w:rsidRPr="00DB6262">
              <w:rPr>
                <w:rFonts w:asciiTheme="majorHAnsi" w:hAnsiTheme="majorHAnsi" w:cstheme="majorHAnsi"/>
                <w:b/>
                <w:bCs/>
                <w:sz w:val="24"/>
                <w:szCs w:val="24"/>
              </w:rPr>
              <w:t>1. Bid Leadership &amp; Ownership</w:t>
            </w:r>
          </w:p>
          <w:p w14:paraId="341F6BC8" w14:textId="77777777" w:rsidR="00834C93" w:rsidRPr="00DB6262" w:rsidRDefault="00834C93" w:rsidP="00834C93">
            <w:pPr>
              <w:numPr>
                <w:ilvl w:val="0"/>
                <w:numId w:val="2"/>
              </w:numPr>
              <w:spacing w:line="278" w:lineRule="auto"/>
              <w:rPr>
                <w:rFonts w:asciiTheme="majorHAnsi" w:hAnsiTheme="majorHAnsi" w:cstheme="majorHAnsi"/>
                <w:sz w:val="24"/>
                <w:szCs w:val="24"/>
              </w:rPr>
            </w:pPr>
            <w:r w:rsidRPr="00DB6262">
              <w:rPr>
                <w:rFonts w:asciiTheme="majorHAnsi" w:hAnsiTheme="majorHAnsi" w:cstheme="majorHAnsi"/>
                <w:sz w:val="24"/>
                <w:szCs w:val="24"/>
              </w:rPr>
              <w:t>Take ownership of the bid lifecycle from opportunity qualification to submission</w:t>
            </w:r>
          </w:p>
          <w:p w14:paraId="3476A848" w14:textId="77777777" w:rsidR="00834C93" w:rsidRPr="00DB6262" w:rsidRDefault="00834C93" w:rsidP="00834C93">
            <w:pPr>
              <w:numPr>
                <w:ilvl w:val="0"/>
                <w:numId w:val="2"/>
              </w:numPr>
              <w:spacing w:line="278" w:lineRule="auto"/>
              <w:rPr>
                <w:rFonts w:asciiTheme="majorHAnsi" w:hAnsiTheme="majorHAnsi" w:cstheme="majorHAnsi"/>
                <w:sz w:val="24"/>
                <w:szCs w:val="24"/>
              </w:rPr>
            </w:pPr>
            <w:r w:rsidRPr="00DB6262">
              <w:rPr>
                <w:rFonts w:asciiTheme="majorHAnsi" w:hAnsiTheme="majorHAnsi" w:cstheme="majorHAnsi"/>
                <w:sz w:val="24"/>
                <w:szCs w:val="24"/>
              </w:rPr>
              <w:t>Lead bid planning, timelines, and delivery across multiple opportunities</w:t>
            </w:r>
          </w:p>
          <w:p w14:paraId="4722ADB8" w14:textId="77777777" w:rsidR="00834C93" w:rsidRPr="00DB6262" w:rsidRDefault="00834C93" w:rsidP="00834C93">
            <w:pPr>
              <w:numPr>
                <w:ilvl w:val="0"/>
                <w:numId w:val="2"/>
              </w:numPr>
              <w:spacing w:line="278" w:lineRule="auto"/>
              <w:rPr>
                <w:rFonts w:asciiTheme="majorHAnsi" w:hAnsiTheme="majorHAnsi" w:cstheme="majorHAnsi"/>
                <w:sz w:val="24"/>
                <w:szCs w:val="24"/>
              </w:rPr>
            </w:pPr>
            <w:r w:rsidRPr="00DB6262">
              <w:rPr>
                <w:rFonts w:asciiTheme="majorHAnsi" w:hAnsiTheme="majorHAnsi" w:cstheme="majorHAnsi"/>
                <w:sz w:val="24"/>
                <w:szCs w:val="24"/>
              </w:rPr>
              <w:t>Support bid/no-bid decisions in collaboration with stakeholders</w:t>
            </w:r>
          </w:p>
          <w:p w14:paraId="186F4456" w14:textId="77777777" w:rsidR="00834C93" w:rsidRPr="00DB6262" w:rsidRDefault="00834C93" w:rsidP="00834C93">
            <w:pPr>
              <w:numPr>
                <w:ilvl w:val="0"/>
                <w:numId w:val="2"/>
              </w:numPr>
              <w:spacing w:line="278" w:lineRule="auto"/>
              <w:rPr>
                <w:rFonts w:asciiTheme="majorHAnsi" w:hAnsiTheme="majorHAnsi" w:cstheme="majorHAnsi"/>
                <w:sz w:val="24"/>
                <w:szCs w:val="24"/>
              </w:rPr>
            </w:pPr>
            <w:r w:rsidRPr="00DB6262">
              <w:rPr>
                <w:rFonts w:asciiTheme="majorHAnsi" w:hAnsiTheme="majorHAnsi" w:cstheme="majorHAnsi"/>
                <w:sz w:val="24"/>
                <w:szCs w:val="24"/>
              </w:rPr>
              <w:t>Act as the central point of coordination for all bid activity</w:t>
            </w:r>
          </w:p>
          <w:p w14:paraId="7F9D5E92" w14:textId="77777777" w:rsidR="00834C93" w:rsidRPr="00DB6262" w:rsidRDefault="00834C93" w:rsidP="00834C93">
            <w:pPr>
              <w:rPr>
                <w:rFonts w:asciiTheme="majorHAnsi" w:hAnsiTheme="majorHAnsi" w:cstheme="majorHAnsi"/>
                <w:sz w:val="24"/>
                <w:szCs w:val="24"/>
              </w:rPr>
            </w:pPr>
            <w:r w:rsidRPr="00DB6262">
              <w:rPr>
                <w:rFonts w:asciiTheme="majorHAnsi" w:hAnsiTheme="majorHAnsi" w:cstheme="majorHAnsi"/>
                <w:b/>
                <w:bCs/>
                <w:sz w:val="24"/>
                <w:szCs w:val="24"/>
              </w:rPr>
              <w:t>2. Strategic Input &amp; Win Themes</w:t>
            </w:r>
          </w:p>
          <w:p w14:paraId="5342043E" w14:textId="77777777" w:rsidR="00834C93" w:rsidRPr="00DB6262" w:rsidRDefault="00834C93" w:rsidP="00834C93">
            <w:pPr>
              <w:numPr>
                <w:ilvl w:val="0"/>
                <w:numId w:val="3"/>
              </w:numPr>
              <w:spacing w:line="278" w:lineRule="auto"/>
              <w:rPr>
                <w:rFonts w:asciiTheme="majorHAnsi" w:hAnsiTheme="majorHAnsi" w:cstheme="majorHAnsi"/>
                <w:sz w:val="24"/>
                <w:szCs w:val="24"/>
              </w:rPr>
            </w:pPr>
            <w:r w:rsidRPr="00DB6262">
              <w:rPr>
                <w:rFonts w:asciiTheme="majorHAnsi" w:hAnsiTheme="majorHAnsi" w:cstheme="majorHAnsi"/>
                <w:sz w:val="24"/>
                <w:szCs w:val="24"/>
              </w:rPr>
              <w:t>Support the development of win strategies and key messaging</w:t>
            </w:r>
          </w:p>
          <w:p w14:paraId="26A9AC72" w14:textId="77777777" w:rsidR="00834C93" w:rsidRPr="00DB6262" w:rsidRDefault="00834C93" w:rsidP="00834C93">
            <w:pPr>
              <w:numPr>
                <w:ilvl w:val="0"/>
                <w:numId w:val="3"/>
              </w:numPr>
              <w:spacing w:line="278" w:lineRule="auto"/>
              <w:rPr>
                <w:rFonts w:asciiTheme="majorHAnsi" w:hAnsiTheme="majorHAnsi" w:cstheme="majorHAnsi"/>
                <w:sz w:val="24"/>
                <w:szCs w:val="24"/>
              </w:rPr>
            </w:pPr>
            <w:r w:rsidRPr="00DB6262">
              <w:rPr>
                <w:rFonts w:asciiTheme="majorHAnsi" w:hAnsiTheme="majorHAnsi" w:cstheme="majorHAnsi"/>
                <w:sz w:val="24"/>
                <w:szCs w:val="24"/>
              </w:rPr>
              <w:lastRenderedPageBreak/>
              <w:t>Identify differentiators and ensure they are clearly articulated in submissions</w:t>
            </w:r>
          </w:p>
          <w:p w14:paraId="564956CC" w14:textId="77777777" w:rsidR="00834C93" w:rsidRPr="00DB6262" w:rsidRDefault="00834C93" w:rsidP="00834C93">
            <w:pPr>
              <w:numPr>
                <w:ilvl w:val="0"/>
                <w:numId w:val="3"/>
              </w:numPr>
              <w:spacing w:line="278" w:lineRule="auto"/>
              <w:rPr>
                <w:rFonts w:asciiTheme="majorHAnsi" w:hAnsiTheme="majorHAnsi" w:cstheme="majorHAnsi"/>
                <w:sz w:val="24"/>
                <w:szCs w:val="24"/>
              </w:rPr>
            </w:pPr>
            <w:r w:rsidRPr="00DB6262">
              <w:rPr>
                <w:rFonts w:asciiTheme="majorHAnsi" w:hAnsiTheme="majorHAnsi" w:cstheme="majorHAnsi"/>
                <w:sz w:val="24"/>
                <w:szCs w:val="24"/>
              </w:rPr>
              <w:t>Align bids with business priorities and commercial objectives</w:t>
            </w:r>
          </w:p>
          <w:p w14:paraId="5693B197" w14:textId="77777777" w:rsidR="00834C93" w:rsidRPr="00DB6262" w:rsidRDefault="00834C93" w:rsidP="00834C93">
            <w:pPr>
              <w:rPr>
                <w:rFonts w:asciiTheme="majorHAnsi" w:hAnsiTheme="majorHAnsi" w:cstheme="majorHAnsi"/>
                <w:sz w:val="24"/>
                <w:szCs w:val="24"/>
              </w:rPr>
            </w:pPr>
            <w:r w:rsidRPr="00DB6262">
              <w:rPr>
                <w:rFonts w:asciiTheme="majorHAnsi" w:hAnsiTheme="majorHAnsi" w:cstheme="majorHAnsi"/>
                <w:b/>
                <w:bCs/>
                <w:sz w:val="24"/>
                <w:szCs w:val="24"/>
              </w:rPr>
              <w:t>3. Proposal Development</w:t>
            </w:r>
          </w:p>
          <w:p w14:paraId="7B10D3C1" w14:textId="77777777" w:rsidR="00834C93" w:rsidRPr="00DB6262" w:rsidRDefault="00834C93" w:rsidP="00834C93">
            <w:pPr>
              <w:numPr>
                <w:ilvl w:val="0"/>
                <w:numId w:val="4"/>
              </w:numPr>
              <w:spacing w:line="278" w:lineRule="auto"/>
              <w:rPr>
                <w:rFonts w:asciiTheme="majorHAnsi" w:hAnsiTheme="majorHAnsi" w:cstheme="majorHAnsi"/>
                <w:sz w:val="24"/>
                <w:szCs w:val="24"/>
              </w:rPr>
            </w:pPr>
            <w:r w:rsidRPr="00DB6262">
              <w:rPr>
                <w:rFonts w:asciiTheme="majorHAnsi" w:hAnsiTheme="majorHAnsi" w:cstheme="majorHAnsi"/>
                <w:sz w:val="24"/>
                <w:szCs w:val="24"/>
              </w:rPr>
              <w:t>Produce and oversee high-quality, client-focused written submissions</w:t>
            </w:r>
          </w:p>
          <w:p w14:paraId="4F989484" w14:textId="77777777" w:rsidR="00834C93" w:rsidRPr="00DB6262" w:rsidRDefault="00834C93" w:rsidP="00834C93">
            <w:pPr>
              <w:numPr>
                <w:ilvl w:val="0"/>
                <w:numId w:val="4"/>
              </w:numPr>
              <w:spacing w:line="278" w:lineRule="auto"/>
              <w:rPr>
                <w:rFonts w:asciiTheme="majorHAnsi" w:hAnsiTheme="majorHAnsi" w:cstheme="majorHAnsi"/>
                <w:sz w:val="24"/>
                <w:szCs w:val="24"/>
              </w:rPr>
            </w:pPr>
            <w:r w:rsidRPr="00DB6262">
              <w:rPr>
                <w:rFonts w:asciiTheme="majorHAnsi" w:hAnsiTheme="majorHAnsi" w:cstheme="majorHAnsi"/>
                <w:sz w:val="24"/>
                <w:szCs w:val="24"/>
              </w:rPr>
              <w:t>Ensure all content is clear, consistent, and tailored to client requirements</w:t>
            </w:r>
          </w:p>
          <w:p w14:paraId="2B865A1B" w14:textId="77777777" w:rsidR="00834C93" w:rsidRPr="00DB6262" w:rsidRDefault="00834C93" w:rsidP="00834C93">
            <w:pPr>
              <w:numPr>
                <w:ilvl w:val="0"/>
                <w:numId w:val="4"/>
              </w:numPr>
              <w:spacing w:line="278" w:lineRule="auto"/>
              <w:rPr>
                <w:rFonts w:asciiTheme="majorHAnsi" w:hAnsiTheme="majorHAnsi" w:cstheme="majorHAnsi"/>
                <w:sz w:val="24"/>
                <w:szCs w:val="24"/>
              </w:rPr>
            </w:pPr>
            <w:r w:rsidRPr="00DB6262">
              <w:rPr>
                <w:rFonts w:asciiTheme="majorHAnsi" w:hAnsiTheme="majorHAnsi" w:cstheme="majorHAnsi"/>
                <w:sz w:val="24"/>
                <w:szCs w:val="24"/>
              </w:rPr>
              <w:t>Lead review processes and drive continuous improvement in submission quality</w:t>
            </w:r>
          </w:p>
          <w:p w14:paraId="5C3B8297" w14:textId="77777777" w:rsidR="00834C93" w:rsidRPr="00DB6262" w:rsidRDefault="00834C93" w:rsidP="00834C93">
            <w:pPr>
              <w:rPr>
                <w:rFonts w:asciiTheme="majorHAnsi" w:hAnsiTheme="majorHAnsi" w:cstheme="majorHAnsi"/>
                <w:sz w:val="24"/>
                <w:szCs w:val="24"/>
              </w:rPr>
            </w:pPr>
            <w:r w:rsidRPr="00DB6262">
              <w:rPr>
                <w:rFonts w:asciiTheme="majorHAnsi" w:hAnsiTheme="majorHAnsi" w:cstheme="majorHAnsi"/>
                <w:b/>
                <w:bCs/>
                <w:sz w:val="24"/>
                <w:szCs w:val="24"/>
              </w:rPr>
              <w:t>4. Stakeholder Coordination &amp; Engagement</w:t>
            </w:r>
          </w:p>
          <w:p w14:paraId="720DD150" w14:textId="77777777" w:rsidR="00834C93" w:rsidRPr="00DB6262" w:rsidRDefault="00834C93" w:rsidP="00834C93">
            <w:pPr>
              <w:numPr>
                <w:ilvl w:val="0"/>
                <w:numId w:val="5"/>
              </w:numPr>
              <w:spacing w:line="278" w:lineRule="auto"/>
              <w:rPr>
                <w:rFonts w:asciiTheme="majorHAnsi" w:hAnsiTheme="majorHAnsi" w:cstheme="majorHAnsi"/>
                <w:sz w:val="24"/>
                <w:szCs w:val="24"/>
              </w:rPr>
            </w:pPr>
            <w:r w:rsidRPr="00DB6262">
              <w:rPr>
                <w:rFonts w:asciiTheme="majorHAnsi" w:hAnsiTheme="majorHAnsi" w:cstheme="majorHAnsi"/>
                <w:sz w:val="24"/>
                <w:szCs w:val="24"/>
              </w:rPr>
              <w:t>Coordinate inputs across Business Development, Programs, and Commercial teams</w:t>
            </w:r>
          </w:p>
          <w:p w14:paraId="1723F0F0" w14:textId="77777777" w:rsidR="00834C93" w:rsidRPr="00DB6262" w:rsidRDefault="00834C93" w:rsidP="00834C93">
            <w:pPr>
              <w:numPr>
                <w:ilvl w:val="0"/>
                <w:numId w:val="5"/>
              </w:numPr>
              <w:spacing w:line="278" w:lineRule="auto"/>
              <w:rPr>
                <w:rFonts w:asciiTheme="majorHAnsi" w:hAnsiTheme="majorHAnsi" w:cstheme="majorHAnsi"/>
                <w:sz w:val="24"/>
                <w:szCs w:val="24"/>
              </w:rPr>
            </w:pPr>
            <w:r w:rsidRPr="00DB6262">
              <w:rPr>
                <w:rFonts w:asciiTheme="majorHAnsi" w:hAnsiTheme="majorHAnsi" w:cstheme="majorHAnsi"/>
                <w:sz w:val="24"/>
                <w:szCs w:val="24"/>
              </w:rPr>
              <w:t>Work with subject matter experts to gather accurate and relevant information</w:t>
            </w:r>
          </w:p>
          <w:p w14:paraId="58DED8DD" w14:textId="77777777" w:rsidR="00834C93" w:rsidRPr="00DB6262" w:rsidRDefault="00834C93" w:rsidP="00834C93">
            <w:pPr>
              <w:numPr>
                <w:ilvl w:val="0"/>
                <w:numId w:val="5"/>
              </w:numPr>
              <w:spacing w:line="278" w:lineRule="auto"/>
              <w:rPr>
                <w:rFonts w:asciiTheme="majorHAnsi" w:hAnsiTheme="majorHAnsi" w:cstheme="majorHAnsi"/>
                <w:sz w:val="24"/>
                <w:szCs w:val="24"/>
              </w:rPr>
            </w:pPr>
            <w:r w:rsidRPr="00DB6262">
              <w:rPr>
                <w:rFonts w:asciiTheme="majorHAnsi" w:hAnsiTheme="majorHAnsi" w:cstheme="majorHAnsi"/>
                <w:sz w:val="24"/>
                <w:szCs w:val="24"/>
              </w:rPr>
              <w:t>Ensure alignment on timelines, deliverables, and expectations</w:t>
            </w:r>
          </w:p>
          <w:p w14:paraId="78328088" w14:textId="77777777" w:rsidR="00834C93" w:rsidRPr="00DB6262" w:rsidRDefault="00834C93" w:rsidP="00834C93">
            <w:pPr>
              <w:numPr>
                <w:ilvl w:val="0"/>
                <w:numId w:val="5"/>
              </w:numPr>
              <w:spacing w:line="278" w:lineRule="auto"/>
              <w:rPr>
                <w:rFonts w:asciiTheme="majorHAnsi" w:hAnsiTheme="majorHAnsi" w:cstheme="majorHAnsi"/>
                <w:sz w:val="24"/>
                <w:szCs w:val="24"/>
              </w:rPr>
            </w:pPr>
            <w:r w:rsidRPr="00DB6262">
              <w:rPr>
                <w:rFonts w:asciiTheme="majorHAnsi" w:hAnsiTheme="majorHAnsi" w:cstheme="majorHAnsi"/>
                <w:sz w:val="24"/>
                <w:szCs w:val="24"/>
              </w:rPr>
              <w:t>Build strong working relationships to support effective collaboration</w:t>
            </w:r>
          </w:p>
          <w:p w14:paraId="4479D0F9" w14:textId="77777777" w:rsidR="00834C93" w:rsidRPr="00DB6262" w:rsidRDefault="00834C93" w:rsidP="00834C93">
            <w:pPr>
              <w:rPr>
                <w:rFonts w:asciiTheme="majorHAnsi" w:hAnsiTheme="majorHAnsi" w:cstheme="majorHAnsi"/>
                <w:sz w:val="24"/>
                <w:szCs w:val="24"/>
              </w:rPr>
            </w:pPr>
            <w:r w:rsidRPr="00DB6262">
              <w:rPr>
                <w:rFonts w:asciiTheme="majorHAnsi" w:hAnsiTheme="majorHAnsi" w:cstheme="majorHAnsi"/>
                <w:b/>
                <w:bCs/>
                <w:sz w:val="24"/>
                <w:szCs w:val="24"/>
              </w:rPr>
              <w:t>5. Contracts Coordination &amp; Support</w:t>
            </w:r>
          </w:p>
          <w:p w14:paraId="1052CC22" w14:textId="77777777" w:rsidR="00834C93" w:rsidRPr="00DB6262" w:rsidRDefault="00834C93" w:rsidP="00834C93">
            <w:pPr>
              <w:numPr>
                <w:ilvl w:val="0"/>
                <w:numId w:val="6"/>
              </w:numPr>
              <w:spacing w:line="278" w:lineRule="auto"/>
              <w:rPr>
                <w:rFonts w:asciiTheme="majorHAnsi" w:hAnsiTheme="majorHAnsi" w:cstheme="majorHAnsi"/>
                <w:sz w:val="24"/>
                <w:szCs w:val="24"/>
              </w:rPr>
            </w:pPr>
            <w:r w:rsidRPr="00DB6262">
              <w:rPr>
                <w:rFonts w:asciiTheme="majorHAnsi" w:hAnsiTheme="majorHAnsi" w:cstheme="majorHAnsi"/>
                <w:sz w:val="24"/>
                <w:szCs w:val="24"/>
              </w:rPr>
              <w:t>Support the review of contract terms and conditions in collaboration with Commercial and Legal teams</w:t>
            </w:r>
          </w:p>
          <w:p w14:paraId="536DE880" w14:textId="77777777" w:rsidR="00834C93" w:rsidRPr="00DB6262" w:rsidRDefault="00834C93" w:rsidP="00834C93">
            <w:pPr>
              <w:numPr>
                <w:ilvl w:val="0"/>
                <w:numId w:val="6"/>
              </w:numPr>
              <w:spacing w:line="278" w:lineRule="auto"/>
              <w:rPr>
                <w:rFonts w:asciiTheme="majorHAnsi" w:hAnsiTheme="majorHAnsi" w:cstheme="majorHAnsi"/>
                <w:sz w:val="24"/>
                <w:szCs w:val="24"/>
              </w:rPr>
            </w:pPr>
            <w:r w:rsidRPr="00DB6262">
              <w:rPr>
                <w:rFonts w:asciiTheme="majorHAnsi" w:hAnsiTheme="majorHAnsi" w:cstheme="majorHAnsi"/>
                <w:sz w:val="24"/>
                <w:szCs w:val="24"/>
              </w:rPr>
              <w:t>Identify and flag commercial risks, assumptions, and dependencies within bids and contracts</w:t>
            </w:r>
          </w:p>
          <w:p w14:paraId="3A7D6086" w14:textId="77777777" w:rsidR="00834C93" w:rsidRPr="00DB6262" w:rsidRDefault="00834C93" w:rsidP="00834C93">
            <w:pPr>
              <w:numPr>
                <w:ilvl w:val="0"/>
                <w:numId w:val="6"/>
              </w:numPr>
              <w:spacing w:line="278" w:lineRule="auto"/>
              <w:rPr>
                <w:rFonts w:asciiTheme="majorHAnsi" w:hAnsiTheme="majorHAnsi" w:cstheme="majorHAnsi"/>
                <w:sz w:val="24"/>
                <w:szCs w:val="24"/>
              </w:rPr>
            </w:pPr>
            <w:r w:rsidRPr="00DB6262">
              <w:rPr>
                <w:rFonts w:asciiTheme="majorHAnsi" w:hAnsiTheme="majorHAnsi" w:cstheme="majorHAnsi"/>
                <w:sz w:val="24"/>
                <w:szCs w:val="24"/>
              </w:rPr>
              <w:t>Ensure alignment between bid submissions and final contract agreements</w:t>
            </w:r>
          </w:p>
          <w:p w14:paraId="76ECCF57" w14:textId="77777777" w:rsidR="00834C93" w:rsidRPr="00DB6262" w:rsidRDefault="00834C93" w:rsidP="00834C93">
            <w:pPr>
              <w:numPr>
                <w:ilvl w:val="0"/>
                <w:numId w:val="6"/>
              </w:numPr>
              <w:spacing w:line="278" w:lineRule="auto"/>
              <w:rPr>
                <w:rFonts w:asciiTheme="majorHAnsi" w:hAnsiTheme="majorHAnsi" w:cstheme="majorHAnsi"/>
                <w:sz w:val="24"/>
                <w:szCs w:val="24"/>
              </w:rPr>
            </w:pPr>
            <w:r w:rsidRPr="00DB6262">
              <w:rPr>
                <w:rFonts w:asciiTheme="majorHAnsi" w:hAnsiTheme="majorHAnsi" w:cstheme="majorHAnsi"/>
                <w:sz w:val="24"/>
                <w:szCs w:val="24"/>
              </w:rPr>
              <w:t>Assist in the preparation of contract summaries and key obligation tracking</w:t>
            </w:r>
          </w:p>
          <w:p w14:paraId="75DB3490" w14:textId="77777777" w:rsidR="00834C93" w:rsidRPr="00DB6262" w:rsidRDefault="00834C93" w:rsidP="00834C93">
            <w:pPr>
              <w:numPr>
                <w:ilvl w:val="0"/>
                <w:numId w:val="6"/>
              </w:numPr>
              <w:spacing w:line="278" w:lineRule="auto"/>
              <w:rPr>
                <w:rFonts w:asciiTheme="majorHAnsi" w:hAnsiTheme="majorHAnsi" w:cstheme="majorHAnsi"/>
                <w:sz w:val="24"/>
                <w:szCs w:val="24"/>
              </w:rPr>
            </w:pPr>
            <w:r w:rsidRPr="00DB6262">
              <w:rPr>
                <w:rFonts w:asciiTheme="majorHAnsi" w:hAnsiTheme="majorHAnsi" w:cstheme="majorHAnsi"/>
                <w:sz w:val="24"/>
                <w:szCs w:val="24"/>
              </w:rPr>
              <w:t>Support effective handover from bid phase to operational delivery</w:t>
            </w:r>
          </w:p>
          <w:p w14:paraId="757C712B" w14:textId="77777777" w:rsidR="00834C93" w:rsidRPr="00DB6262" w:rsidRDefault="00834C93" w:rsidP="00834C93">
            <w:pPr>
              <w:rPr>
                <w:rFonts w:asciiTheme="majorHAnsi" w:hAnsiTheme="majorHAnsi" w:cstheme="majorHAnsi"/>
                <w:sz w:val="24"/>
                <w:szCs w:val="24"/>
              </w:rPr>
            </w:pPr>
            <w:r w:rsidRPr="00DB6262">
              <w:rPr>
                <w:rFonts w:asciiTheme="majorHAnsi" w:hAnsiTheme="majorHAnsi" w:cstheme="majorHAnsi"/>
                <w:b/>
                <w:bCs/>
                <w:sz w:val="24"/>
                <w:szCs w:val="24"/>
              </w:rPr>
              <w:lastRenderedPageBreak/>
              <w:t>6. Governance, Quality &amp; Compliance</w:t>
            </w:r>
          </w:p>
          <w:p w14:paraId="420E7E60" w14:textId="77777777" w:rsidR="00834C93" w:rsidRPr="00DB6262" w:rsidRDefault="00834C93" w:rsidP="00834C93">
            <w:pPr>
              <w:numPr>
                <w:ilvl w:val="0"/>
                <w:numId w:val="7"/>
              </w:numPr>
              <w:spacing w:line="278" w:lineRule="auto"/>
              <w:rPr>
                <w:rFonts w:asciiTheme="majorHAnsi" w:hAnsiTheme="majorHAnsi" w:cstheme="majorHAnsi"/>
                <w:sz w:val="24"/>
                <w:szCs w:val="24"/>
              </w:rPr>
            </w:pPr>
            <w:r w:rsidRPr="00DB6262">
              <w:rPr>
                <w:rFonts w:asciiTheme="majorHAnsi" w:hAnsiTheme="majorHAnsi" w:cstheme="majorHAnsi"/>
                <w:sz w:val="24"/>
                <w:szCs w:val="24"/>
              </w:rPr>
              <w:t>Ensure all bids and proposals are compliant with client requirements</w:t>
            </w:r>
          </w:p>
          <w:p w14:paraId="4112F72D" w14:textId="77777777" w:rsidR="00834C93" w:rsidRPr="00DB6262" w:rsidRDefault="00834C93" w:rsidP="00834C93">
            <w:pPr>
              <w:numPr>
                <w:ilvl w:val="0"/>
                <w:numId w:val="7"/>
              </w:numPr>
              <w:spacing w:line="278" w:lineRule="auto"/>
              <w:rPr>
                <w:rFonts w:asciiTheme="majorHAnsi" w:hAnsiTheme="majorHAnsi" w:cstheme="majorHAnsi"/>
                <w:sz w:val="24"/>
                <w:szCs w:val="24"/>
              </w:rPr>
            </w:pPr>
            <w:r w:rsidRPr="00DB6262">
              <w:rPr>
                <w:rFonts w:asciiTheme="majorHAnsi" w:hAnsiTheme="majorHAnsi" w:cstheme="majorHAnsi"/>
                <w:sz w:val="24"/>
                <w:szCs w:val="24"/>
              </w:rPr>
              <w:t>Maintain high standards of quality, accuracy, and presentation</w:t>
            </w:r>
          </w:p>
          <w:p w14:paraId="0FA14C12" w14:textId="77777777" w:rsidR="00834C93" w:rsidRPr="00DB6262" w:rsidRDefault="00834C93" w:rsidP="00834C93">
            <w:pPr>
              <w:numPr>
                <w:ilvl w:val="0"/>
                <w:numId w:val="7"/>
              </w:numPr>
              <w:spacing w:line="278" w:lineRule="auto"/>
              <w:rPr>
                <w:rFonts w:asciiTheme="majorHAnsi" w:hAnsiTheme="majorHAnsi" w:cstheme="majorHAnsi"/>
                <w:sz w:val="24"/>
                <w:szCs w:val="24"/>
              </w:rPr>
            </w:pPr>
            <w:r w:rsidRPr="00DB6262">
              <w:rPr>
                <w:rFonts w:asciiTheme="majorHAnsi" w:hAnsiTheme="majorHAnsi" w:cstheme="majorHAnsi"/>
                <w:sz w:val="24"/>
                <w:szCs w:val="24"/>
              </w:rPr>
              <w:t>Support governance processes and manage submission risks</w:t>
            </w:r>
          </w:p>
          <w:p w14:paraId="39F01665" w14:textId="77777777" w:rsidR="00834C93" w:rsidRPr="00DB6262" w:rsidRDefault="00834C93" w:rsidP="00834C93">
            <w:pPr>
              <w:rPr>
                <w:rFonts w:asciiTheme="majorHAnsi" w:hAnsiTheme="majorHAnsi" w:cstheme="majorHAnsi"/>
                <w:sz w:val="24"/>
                <w:szCs w:val="24"/>
              </w:rPr>
            </w:pPr>
            <w:r w:rsidRPr="00DB6262">
              <w:rPr>
                <w:rFonts w:asciiTheme="majorHAnsi" w:hAnsiTheme="majorHAnsi" w:cstheme="majorHAnsi"/>
                <w:b/>
                <w:bCs/>
                <w:sz w:val="24"/>
                <w:szCs w:val="24"/>
              </w:rPr>
              <w:t>7. Continuous Improvement &amp; Capability Building</w:t>
            </w:r>
          </w:p>
          <w:p w14:paraId="4A9801F3" w14:textId="77777777" w:rsidR="00834C93" w:rsidRPr="00DB6262" w:rsidRDefault="00834C93" w:rsidP="00834C93">
            <w:pPr>
              <w:numPr>
                <w:ilvl w:val="0"/>
                <w:numId w:val="8"/>
              </w:numPr>
              <w:spacing w:line="278" w:lineRule="auto"/>
              <w:rPr>
                <w:rFonts w:asciiTheme="majorHAnsi" w:hAnsiTheme="majorHAnsi" w:cstheme="majorHAnsi"/>
                <w:sz w:val="24"/>
                <w:szCs w:val="24"/>
              </w:rPr>
            </w:pPr>
            <w:r w:rsidRPr="00DB6262">
              <w:rPr>
                <w:rFonts w:asciiTheme="majorHAnsi" w:hAnsiTheme="majorHAnsi" w:cstheme="majorHAnsi"/>
                <w:sz w:val="24"/>
                <w:szCs w:val="24"/>
              </w:rPr>
              <w:t>Maintain bid and contract documentation, templates, and content libraries</w:t>
            </w:r>
          </w:p>
          <w:p w14:paraId="448F9846" w14:textId="77777777" w:rsidR="00834C93" w:rsidRPr="00DB6262" w:rsidRDefault="00834C93" w:rsidP="00834C93">
            <w:pPr>
              <w:numPr>
                <w:ilvl w:val="0"/>
                <w:numId w:val="8"/>
              </w:numPr>
              <w:spacing w:line="278" w:lineRule="auto"/>
              <w:rPr>
                <w:rFonts w:asciiTheme="majorHAnsi" w:hAnsiTheme="majorHAnsi" w:cstheme="majorHAnsi"/>
                <w:sz w:val="24"/>
                <w:szCs w:val="24"/>
              </w:rPr>
            </w:pPr>
            <w:r w:rsidRPr="00DB6262">
              <w:rPr>
                <w:rFonts w:asciiTheme="majorHAnsi" w:hAnsiTheme="majorHAnsi" w:cstheme="majorHAnsi"/>
                <w:sz w:val="24"/>
                <w:szCs w:val="24"/>
              </w:rPr>
              <w:t xml:space="preserve">Capture lessons learned and </w:t>
            </w:r>
            <w:proofErr w:type="gramStart"/>
            <w:r w:rsidRPr="00DB6262">
              <w:rPr>
                <w:rFonts w:asciiTheme="majorHAnsi" w:hAnsiTheme="majorHAnsi" w:cstheme="majorHAnsi"/>
                <w:sz w:val="24"/>
                <w:szCs w:val="24"/>
              </w:rPr>
              <w:t>implement</w:t>
            </w:r>
            <w:proofErr w:type="gramEnd"/>
            <w:r w:rsidRPr="00DB6262">
              <w:rPr>
                <w:rFonts w:asciiTheme="majorHAnsi" w:hAnsiTheme="majorHAnsi" w:cstheme="majorHAnsi"/>
                <w:sz w:val="24"/>
                <w:szCs w:val="24"/>
              </w:rPr>
              <w:t xml:space="preserve"> improvements</w:t>
            </w:r>
          </w:p>
          <w:p w14:paraId="50ACC508" w14:textId="711C51BA" w:rsidR="000451E6" w:rsidRPr="00DB6262" w:rsidRDefault="00834C93" w:rsidP="00834C93">
            <w:pPr>
              <w:numPr>
                <w:ilvl w:val="0"/>
                <w:numId w:val="8"/>
              </w:numPr>
              <w:spacing w:line="278" w:lineRule="auto"/>
              <w:rPr>
                <w:rFonts w:asciiTheme="majorHAnsi" w:hAnsiTheme="majorHAnsi" w:cstheme="majorHAnsi"/>
                <w:color w:val="000000"/>
                <w:sz w:val="24"/>
                <w:szCs w:val="24"/>
              </w:rPr>
            </w:pPr>
            <w:r w:rsidRPr="00DB6262">
              <w:rPr>
                <w:rFonts w:asciiTheme="majorHAnsi" w:hAnsiTheme="majorHAnsi" w:cstheme="majorHAnsi"/>
                <w:sz w:val="24"/>
                <w:szCs w:val="24"/>
              </w:rPr>
              <w:t>Support the development of best practices across bid and contract processes</w:t>
            </w:r>
          </w:p>
        </w:tc>
      </w:tr>
      <w:tr w:rsidR="000451E6" w:rsidRPr="00DB6262" w14:paraId="333805F4" w14:textId="77777777" w:rsidTr="00AA26D1">
        <w:trPr>
          <w:trHeight w:val="428"/>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67AA3CF5" w14:textId="77777777" w:rsidR="000451E6" w:rsidRPr="00DB6262" w:rsidRDefault="000451E6" w:rsidP="00AA26D1">
            <w:pPr>
              <w:spacing w:before="40" w:after="40"/>
              <w:rPr>
                <w:rFonts w:asciiTheme="majorHAnsi" w:hAnsiTheme="majorHAnsi" w:cstheme="majorHAnsi"/>
                <w:color w:val="FFFFFF"/>
                <w:sz w:val="24"/>
                <w:szCs w:val="24"/>
              </w:rPr>
            </w:pPr>
            <w:r w:rsidRPr="00DB6262">
              <w:rPr>
                <w:rFonts w:asciiTheme="majorHAnsi" w:hAnsiTheme="majorHAnsi" w:cstheme="majorHAnsi"/>
                <w:color w:val="FFFFFF"/>
                <w:sz w:val="24"/>
                <w:szCs w:val="24"/>
              </w:rPr>
              <w:lastRenderedPageBreak/>
              <w:t>Education and Certification requirements</w:t>
            </w:r>
          </w:p>
        </w:tc>
        <w:tc>
          <w:tcPr>
            <w:tcW w:w="6061" w:type="dxa"/>
            <w:tcBorders>
              <w:left w:val="single" w:sz="4" w:space="0" w:color="auto"/>
              <w:right w:val="single" w:sz="12" w:space="0" w:color="004A82"/>
            </w:tcBorders>
          </w:tcPr>
          <w:p w14:paraId="704694B7" w14:textId="77777777" w:rsidR="009C46C9" w:rsidRPr="00DB6262" w:rsidRDefault="009C46C9" w:rsidP="009C46C9">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 xml:space="preserve">Bachelor’s degree (or equivalent experience) in a relevant field such as Business Management, Commercial Management, Procurement &amp; Supply Chain Management, or Project Management </w:t>
            </w:r>
          </w:p>
          <w:p w14:paraId="08F17C3E" w14:textId="77777777" w:rsidR="000451E6" w:rsidRPr="00DB6262" w:rsidRDefault="000451E6" w:rsidP="00AA26D1">
            <w:pPr>
              <w:spacing w:before="40" w:after="40" w:line="240" w:lineRule="auto"/>
              <w:rPr>
                <w:rFonts w:asciiTheme="majorHAnsi" w:hAnsiTheme="majorHAnsi" w:cstheme="majorHAnsi"/>
                <w:color w:val="222A35"/>
                <w:sz w:val="24"/>
                <w:szCs w:val="24"/>
              </w:rPr>
            </w:pPr>
          </w:p>
        </w:tc>
      </w:tr>
      <w:tr w:rsidR="000451E6" w:rsidRPr="00DB6262" w14:paraId="29FC82A7" w14:textId="77777777" w:rsidTr="00AA26D1">
        <w:trPr>
          <w:trHeight w:val="324"/>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07493AA9" w14:textId="77777777" w:rsidR="000451E6" w:rsidRPr="00DB6262" w:rsidRDefault="000451E6" w:rsidP="00AA26D1">
            <w:pPr>
              <w:spacing w:before="40" w:after="40"/>
              <w:rPr>
                <w:rFonts w:asciiTheme="majorHAnsi" w:hAnsiTheme="majorHAnsi" w:cstheme="majorHAnsi"/>
                <w:color w:val="FFFFFF"/>
                <w:sz w:val="24"/>
                <w:szCs w:val="24"/>
              </w:rPr>
            </w:pPr>
            <w:r w:rsidRPr="00DB6262">
              <w:rPr>
                <w:rFonts w:asciiTheme="majorHAnsi" w:hAnsiTheme="majorHAnsi" w:cstheme="majorHAnsi"/>
                <w:color w:val="FFFFFF"/>
                <w:sz w:val="24"/>
                <w:szCs w:val="24"/>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03FE82BA"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Minimum 5 years’ experience in bid coordination, proposal writing, or similar role within a competitive tendering environment</w:t>
            </w:r>
          </w:p>
          <w:p w14:paraId="55E9D969"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Experience supporting contract review, commercial processes, or contract administration</w:t>
            </w:r>
          </w:p>
          <w:p w14:paraId="074661B2"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Proven track record of supporting or delivering successful bids and tenders</w:t>
            </w:r>
          </w:p>
          <w:p w14:paraId="321EA742"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Experience working with Business Development, Programs, and Commercial teams</w:t>
            </w:r>
          </w:p>
          <w:p w14:paraId="5D034E4A"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Strong understanding of structured bid processes and tender requirements</w:t>
            </w:r>
          </w:p>
          <w:p w14:paraId="62DF5961"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Excellent written communication skills with the ability to produce clear, persuasive content</w:t>
            </w:r>
          </w:p>
          <w:p w14:paraId="2D74B8AE"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lastRenderedPageBreak/>
              <w:t>Strong organisational and time management skills, with the ability to manage multiple deadlines</w:t>
            </w:r>
          </w:p>
          <w:p w14:paraId="71DDA7E6"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Ability to review and interpret contractual and commercial information with attention to detail</w:t>
            </w:r>
          </w:p>
          <w:p w14:paraId="5F7F27B3"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Professional certification in bid and proposal management (e.g. APMP) – desirable</w:t>
            </w:r>
          </w:p>
          <w:p w14:paraId="2C22F5B0" w14:textId="77777777" w:rsidR="009877AA" w:rsidRPr="00DB6262" w:rsidRDefault="009877AA" w:rsidP="009877AA">
            <w:pPr>
              <w:numPr>
                <w:ilvl w:val="0"/>
                <w:numId w:val="9"/>
              </w:numPr>
              <w:spacing w:line="278" w:lineRule="auto"/>
              <w:rPr>
                <w:rFonts w:asciiTheme="majorHAnsi" w:hAnsiTheme="majorHAnsi" w:cstheme="majorHAnsi"/>
                <w:sz w:val="24"/>
                <w:szCs w:val="24"/>
              </w:rPr>
            </w:pPr>
            <w:r w:rsidRPr="00DB6262">
              <w:rPr>
                <w:rFonts w:asciiTheme="majorHAnsi" w:hAnsiTheme="majorHAnsi" w:cstheme="majorHAnsi"/>
                <w:sz w:val="24"/>
                <w:szCs w:val="24"/>
              </w:rPr>
              <w:t>Accreditation in procurement or commercial management (e.g. CIPS Level 4–6) – desirable</w:t>
            </w:r>
          </w:p>
          <w:p w14:paraId="096AC290" w14:textId="77777777" w:rsidR="00DB6262" w:rsidRPr="00DB6262" w:rsidRDefault="00DB6262" w:rsidP="00DB6262">
            <w:pPr>
              <w:rPr>
                <w:rFonts w:asciiTheme="majorHAnsi" w:hAnsiTheme="majorHAnsi" w:cstheme="majorHAnsi"/>
                <w:b/>
                <w:bCs/>
                <w:sz w:val="24"/>
                <w:szCs w:val="24"/>
              </w:rPr>
            </w:pPr>
          </w:p>
          <w:p w14:paraId="4C86C6BA" w14:textId="788E62A1" w:rsidR="00DB6262" w:rsidRPr="00DB6262" w:rsidRDefault="00DB6262" w:rsidP="00DB6262">
            <w:pPr>
              <w:rPr>
                <w:rFonts w:asciiTheme="majorHAnsi" w:hAnsiTheme="majorHAnsi" w:cstheme="majorHAnsi"/>
                <w:b/>
                <w:bCs/>
                <w:sz w:val="24"/>
                <w:szCs w:val="24"/>
              </w:rPr>
            </w:pPr>
            <w:r w:rsidRPr="00DB6262">
              <w:rPr>
                <w:rFonts w:asciiTheme="majorHAnsi" w:hAnsiTheme="majorHAnsi" w:cstheme="majorHAnsi"/>
                <w:b/>
                <w:bCs/>
                <w:sz w:val="24"/>
                <w:szCs w:val="24"/>
              </w:rPr>
              <w:t>Behaviours &amp; Attributes</w:t>
            </w:r>
          </w:p>
          <w:p w14:paraId="6982A516" w14:textId="77777777" w:rsidR="00DB6262" w:rsidRPr="00DB6262" w:rsidRDefault="00DB6262" w:rsidP="00DB6262">
            <w:pPr>
              <w:numPr>
                <w:ilvl w:val="0"/>
                <w:numId w:val="10"/>
              </w:numPr>
              <w:spacing w:line="278" w:lineRule="auto"/>
              <w:rPr>
                <w:rFonts w:asciiTheme="majorHAnsi" w:hAnsiTheme="majorHAnsi" w:cstheme="majorHAnsi"/>
                <w:sz w:val="24"/>
                <w:szCs w:val="24"/>
              </w:rPr>
            </w:pPr>
            <w:r w:rsidRPr="00DB6262">
              <w:rPr>
                <w:rFonts w:asciiTheme="majorHAnsi" w:hAnsiTheme="majorHAnsi" w:cstheme="majorHAnsi"/>
                <w:sz w:val="24"/>
                <w:szCs w:val="24"/>
              </w:rPr>
              <w:t>Strong sense of ownership and accountability</w:t>
            </w:r>
          </w:p>
          <w:p w14:paraId="54041CD3" w14:textId="77777777" w:rsidR="00DB6262" w:rsidRPr="00DB6262" w:rsidRDefault="00DB6262" w:rsidP="00DB6262">
            <w:pPr>
              <w:numPr>
                <w:ilvl w:val="0"/>
                <w:numId w:val="10"/>
              </w:numPr>
              <w:spacing w:line="278" w:lineRule="auto"/>
              <w:rPr>
                <w:rFonts w:asciiTheme="majorHAnsi" w:hAnsiTheme="majorHAnsi" w:cstheme="majorHAnsi"/>
                <w:sz w:val="24"/>
                <w:szCs w:val="24"/>
              </w:rPr>
            </w:pPr>
            <w:r w:rsidRPr="00DB6262">
              <w:rPr>
                <w:rFonts w:asciiTheme="majorHAnsi" w:hAnsiTheme="majorHAnsi" w:cstheme="majorHAnsi"/>
                <w:sz w:val="24"/>
                <w:szCs w:val="24"/>
              </w:rPr>
              <w:t>Detail-oriented with a structured approach</w:t>
            </w:r>
          </w:p>
          <w:p w14:paraId="3CD2B0B5" w14:textId="77777777" w:rsidR="00DB6262" w:rsidRPr="00DB6262" w:rsidRDefault="00DB6262" w:rsidP="00DB6262">
            <w:pPr>
              <w:numPr>
                <w:ilvl w:val="0"/>
                <w:numId w:val="10"/>
              </w:numPr>
              <w:spacing w:line="278" w:lineRule="auto"/>
              <w:rPr>
                <w:rFonts w:asciiTheme="majorHAnsi" w:hAnsiTheme="majorHAnsi" w:cstheme="majorHAnsi"/>
                <w:sz w:val="24"/>
                <w:szCs w:val="24"/>
              </w:rPr>
            </w:pPr>
            <w:r w:rsidRPr="00DB6262">
              <w:rPr>
                <w:rFonts w:asciiTheme="majorHAnsi" w:hAnsiTheme="majorHAnsi" w:cstheme="majorHAnsi"/>
                <w:sz w:val="24"/>
                <w:szCs w:val="24"/>
              </w:rPr>
              <w:t>Confident communicator able to engage across teams</w:t>
            </w:r>
          </w:p>
          <w:p w14:paraId="79D1D25D" w14:textId="77777777" w:rsidR="00DB6262" w:rsidRPr="00DB6262" w:rsidRDefault="00DB6262" w:rsidP="00DB6262">
            <w:pPr>
              <w:numPr>
                <w:ilvl w:val="0"/>
                <w:numId w:val="10"/>
              </w:numPr>
              <w:spacing w:line="278" w:lineRule="auto"/>
              <w:rPr>
                <w:rFonts w:asciiTheme="majorHAnsi" w:hAnsiTheme="majorHAnsi" w:cstheme="majorHAnsi"/>
                <w:sz w:val="24"/>
                <w:szCs w:val="24"/>
              </w:rPr>
            </w:pPr>
            <w:r w:rsidRPr="00DB6262">
              <w:rPr>
                <w:rFonts w:asciiTheme="majorHAnsi" w:hAnsiTheme="majorHAnsi" w:cstheme="majorHAnsi"/>
                <w:sz w:val="24"/>
                <w:szCs w:val="24"/>
              </w:rPr>
              <w:t>Proactive and solution-focused</w:t>
            </w:r>
          </w:p>
          <w:p w14:paraId="018025FC" w14:textId="77777777" w:rsidR="00DB6262" w:rsidRPr="00DB6262" w:rsidRDefault="00DB6262" w:rsidP="00DB6262">
            <w:pPr>
              <w:numPr>
                <w:ilvl w:val="0"/>
                <w:numId w:val="10"/>
              </w:numPr>
              <w:spacing w:line="278" w:lineRule="auto"/>
              <w:rPr>
                <w:rFonts w:asciiTheme="majorHAnsi" w:hAnsiTheme="majorHAnsi" w:cstheme="majorHAnsi"/>
                <w:sz w:val="24"/>
                <w:szCs w:val="24"/>
              </w:rPr>
            </w:pPr>
            <w:r w:rsidRPr="00DB6262">
              <w:rPr>
                <w:rFonts w:asciiTheme="majorHAnsi" w:hAnsiTheme="majorHAnsi" w:cstheme="majorHAnsi"/>
                <w:sz w:val="24"/>
                <w:szCs w:val="24"/>
              </w:rPr>
              <w:t>Resilient and able to manage competing priorities</w:t>
            </w:r>
          </w:p>
          <w:p w14:paraId="1F5C10C8" w14:textId="77777777" w:rsidR="000451E6" w:rsidRPr="00DB6262" w:rsidRDefault="000451E6" w:rsidP="00AA26D1">
            <w:pPr>
              <w:spacing w:before="40" w:after="40" w:line="240" w:lineRule="auto"/>
              <w:rPr>
                <w:rFonts w:asciiTheme="majorHAnsi" w:hAnsiTheme="majorHAnsi" w:cstheme="majorHAnsi"/>
                <w:color w:val="222A35"/>
                <w:sz w:val="24"/>
                <w:szCs w:val="24"/>
              </w:rPr>
            </w:pP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0451E6" w:rsidRPr="00DB6262" w14:paraId="76031A0E" w14:textId="77777777" w:rsidTr="00AA26D1">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572D0AC5" w14:textId="77777777" w:rsidR="000451E6" w:rsidRPr="00DB6262" w:rsidRDefault="000451E6" w:rsidP="00AA26D1">
            <w:pPr>
              <w:pStyle w:val="Heading5"/>
              <w:spacing w:after="40"/>
              <w:ind w:left="-284" w:firstLine="284"/>
              <w:rPr>
                <w:rFonts w:cstheme="majorHAnsi"/>
                <w:b/>
                <w:bCs/>
                <w:i/>
                <w:color w:val="FFFF00"/>
                <w:sz w:val="24"/>
                <w:szCs w:val="24"/>
              </w:rPr>
            </w:pPr>
            <w:r w:rsidRPr="00DB6262">
              <w:rPr>
                <w:rFonts w:cstheme="majorHAnsi"/>
                <w:b/>
                <w:bCs/>
                <w:color w:val="FFFFFF"/>
                <w:sz w:val="24"/>
                <w:szCs w:val="24"/>
              </w:rPr>
              <w:lastRenderedPageBreak/>
              <w:t>WORKING CONDITIONS</w:t>
            </w:r>
          </w:p>
        </w:tc>
      </w:tr>
      <w:tr w:rsidR="000451E6" w:rsidRPr="00DB6262" w14:paraId="2CDB6F9A" w14:textId="77777777" w:rsidTr="00AA26D1">
        <w:tc>
          <w:tcPr>
            <w:tcW w:w="2642" w:type="dxa"/>
            <w:tcBorders>
              <w:left w:val="single" w:sz="12" w:space="0" w:color="004A82"/>
              <w:bottom w:val="single" w:sz="12" w:space="0" w:color="004A82"/>
            </w:tcBorders>
            <w:shd w:val="clear" w:color="auto" w:fill="595959"/>
          </w:tcPr>
          <w:p w14:paraId="700B79E7" w14:textId="77777777" w:rsidR="000451E6" w:rsidRPr="00DB6262" w:rsidRDefault="000451E6" w:rsidP="00AA26D1">
            <w:pPr>
              <w:spacing w:before="40" w:after="40"/>
              <w:rPr>
                <w:rFonts w:asciiTheme="majorHAnsi" w:hAnsiTheme="majorHAnsi" w:cstheme="majorHAnsi"/>
                <w:color w:val="FFFFFF"/>
                <w:sz w:val="24"/>
                <w:szCs w:val="24"/>
              </w:rPr>
            </w:pPr>
            <w:r w:rsidRPr="00DB6262">
              <w:rPr>
                <w:rFonts w:asciiTheme="majorHAnsi" w:hAnsiTheme="majorHAnsi" w:cstheme="majorHAnsi"/>
                <w:color w:val="FFFFFF"/>
                <w:sz w:val="24"/>
                <w:szCs w:val="24"/>
              </w:rPr>
              <w:t>Working Environment</w:t>
            </w:r>
          </w:p>
        </w:tc>
        <w:tc>
          <w:tcPr>
            <w:tcW w:w="8683" w:type="dxa"/>
            <w:tcBorders>
              <w:bottom w:val="single" w:sz="12" w:space="0" w:color="004A82"/>
              <w:right w:val="single" w:sz="12" w:space="0" w:color="004A82"/>
            </w:tcBorders>
          </w:tcPr>
          <w:p w14:paraId="42575EC4" w14:textId="58E68110" w:rsidR="000451E6" w:rsidRPr="00DB6262" w:rsidRDefault="000451E6" w:rsidP="00DB6262">
            <w:pPr>
              <w:spacing w:before="40" w:after="80"/>
              <w:rPr>
                <w:rFonts w:asciiTheme="majorHAnsi" w:hAnsiTheme="majorHAnsi" w:cstheme="majorHAnsi"/>
                <w:sz w:val="24"/>
                <w:szCs w:val="24"/>
              </w:rPr>
            </w:pPr>
            <w:r w:rsidRPr="00DB6262">
              <w:rPr>
                <w:rFonts w:asciiTheme="majorHAnsi" w:hAnsiTheme="majorHAnsi" w:cstheme="majorHAnsi"/>
                <w:sz w:val="24"/>
                <w:szCs w:val="24"/>
              </w:rPr>
              <w:t xml:space="preserve">Office Environment </w:t>
            </w:r>
          </w:p>
        </w:tc>
      </w:tr>
    </w:tbl>
    <w:p w14:paraId="79553E15" w14:textId="77777777" w:rsidR="000451E6" w:rsidRPr="00DB6262" w:rsidRDefault="000451E6" w:rsidP="000451E6">
      <w:pPr>
        <w:ind w:firstLine="288"/>
        <w:rPr>
          <w:rFonts w:asciiTheme="majorHAnsi" w:hAnsiTheme="majorHAnsi" w:cstheme="majorHAnsi"/>
          <w:sz w:val="24"/>
          <w:szCs w:val="24"/>
        </w:rPr>
      </w:pPr>
    </w:p>
    <w:p w14:paraId="563BB559" w14:textId="77777777" w:rsidR="000451E6" w:rsidRPr="00DB6262" w:rsidRDefault="000451E6" w:rsidP="000451E6">
      <w:pPr>
        <w:ind w:firstLine="288"/>
        <w:rPr>
          <w:rFonts w:asciiTheme="majorHAnsi" w:hAnsiTheme="majorHAnsi" w:cstheme="majorHAnsi"/>
          <w:sz w:val="24"/>
          <w:szCs w:val="24"/>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0451E6" w:rsidRPr="00DB6262" w14:paraId="2A69FFF8" w14:textId="77777777" w:rsidTr="00AA26D1">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4BA8EBC7" w14:textId="77777777" w:rsidR="000451E6" w:rsidRPr="00DB6262" w:rsidRDefault="000451E6" w:rsidP="00AA26D1">
            <w:pPr>
              <w:pStyle w:val="Heading5"/>
              <w:spacing w:after="40"/>
              <w:ind w:left="-284" w:firstLine="284"/>
              <w:rPr>
                <w:rFonts w:cstheme="majorHAnsi"/>
                <w:b/>
                <w:bCs/>
                <w:i/>
                <w:color w:val="FFFFFF"/>
                <w:sz w:val="24"/>
                <w:szCs w:val="24"/>
              </w:rPr>
            </w:pPr>
            <w:r w:rsidRPr="00DB6262">
              <w:rPr>
                <w:rFonts w:cstheme="majorHAnsi"/>
                <w:b/>
                <w:bCs/>
                <w:color w:val="FFFFFF"/>
                <w:sz w:val="24"/>
                <w:szCs w:val="24"/>
              </w:rPr>
              <w:t>ENDORSEMENT</w:t>
            </w:r>
          </w:p>
        </w:tc>
      </w:tr>
      <w:tr w:rsidR="000451E6" w:rsidRPr="00DB6262" w14:paraId="60F2EFA7" w14:textId="77777777" w:rsidTr="00AA26D1">
        <w:tc>
          <w:tcPr>
            <w:tcW w:w="2340" w:type="dxa"/>
            <w:tcBorders>
              <w:left w:val="single" w:sz="12" w:space="0" w:color="004A82"/>
            </w:tcBorders>
            <w:shd w:val="clear" w:color="auto" w:fill="595959"/>
            <w:vAlign w:val="center"/>
          </w:tcPr>
          <w:p w14:paraId="3F8D9C4B" w14:textId="77777777" w:rsidR="000451E6" w:rsidRPr="00DB6262" w:rsidRDefault="000451E6" w:rsidP="00AA26D1">
            <w:pPr>
              <w:spacing w:before="40" w:after="40"/>
              <w:rPr>
                <w:rFonts w:asciiTheme="majorHAnsi" w:hAnsiTheme="majorHAnsi" w:cstheme="majorHAnsi"/>
                <w:color w:val="FFFFFF"/>
                <w:sz w:val="24"/>
                <w:szCs w:val="24"/>
              </w:rPr>
            </w:pPr>
            <w:r w:rsidRPr="00DB6262">
              <w:rPr>
                <w:rFonts w:asciiTheme="majorHAnsi" w:hAnsiTheme="majorHAnsi" w:cstheme="majorHAnsi"/>
                <w:color w:val="FFFFFF"/>
                <w:sz w:val="24"/>
                <w:szCs w:val="24"/>
              </w:rPr>
              <w:t>Department Director</w:t>
            </w:r>
          </w:p>
        </w:tc>
        <w:tc>
          <w:tcPr>
            <w:tcW w:w="3060" w:type="dxa"/>
            <w:vAlign w:val="center"/>
          </w:tcPr>
          <w:p w14:paraId="36B1C2DC" w14:textId="74229B60" w:rsidR="000451E6" w:rsidRPr="00DB6262" w:rsidRDefault="00DB6262" w:rsidP="00AA26D1">
            <w:pPr>
              <w:spacing w:before="40" w:after="80"/>
              <w:rPr>
                <w:rFonts w:asciiTheme="majorHAnsi" w:hAnsiTheme="majorHAnsi" w:cstheme="majorHAnsi"/>
                <w:sz w:val="24"/>
                <w:szCs w:val="24"/>
              </w:rPr>
            </w:pPr>
            <w:r w:rsidRPr="00DB6262">
              <w:rPr>
                <w:rFonts w:asciiTheme="majorHAnsi" w:hAnsiTheme="majorHAnsi" w:cstheme="majorHAnsi"/>
                <w:sz w:val="24"/>
                <w:szCs w:val="24"/>
              </w:rPr>
              <w:t>Ali Al-Sulaiti</w:t>
            </w:r>
          </w:p>
        </w:tc>
        <w:tc>
          <w:tcPr>
            <w:tcW w:w="1170" w:type="dxa"/>
            <w:shd w:val="clear" w:color="auto" w:fill="595959"/>
            <w:vAlign w:val="center"/>
          </w:tcPr>
          <w:p w14:paraId="5C8D550D" w14:textId="77777777" w:rsidR="000451E6" w:rsidRPr="00DB6262" w:rsidRDefault="000451E6" w:rsidP="00AA26D1">
            <w:pPr>
              <w:spacing w:before="40" w:after="40"/>
              <w:rPr>
                <w:rFonts w:asciiTheme="majorHAnsi" w:hAnsiTheme="majorHAnsi" w:cstheme="majorHAnsi"/>
                <w:color w:val="FFFFFF"/>
                <w:sz w:val="24"/>
                <w:szCs w:val="24"/>
              </w:rPr>
            </w:pPr>
            <w:r w:rsidRPr="00DB6262">
              <w:rPr>
                <w:rFonts w:asciiTheme="majorHAnsi" w:hAnsiTheme="majorHAnsi" w:cstheme="majorHAnsi"/>
                <w:color w:val="FFFFFF"/>
                <w:sz w:val="24"/>
                <w:szCs w:val="24"/>
              </w:rPr>
              <w:t>Signature</w:t>
            </w:r>
          </w:p>
        </w:tc>
        <w:tc>
          <w:tcPr>
            <w:tcW w:w="2340" w:type="dxa"/>
            <w:vAlign w:val="center"/>
          </w:tcPr>
          <w:p w14:paraId="3504B97A" w14:textId="77777777" w:rsidR="000451E6" w:rsidRPr="00DB6262" w:rsidRDefault="000451E6" w:rsidP="00AA26D1">
            <w:pPr>
              <w:spacing w:before="40" w:after="80"/>
              <w:rPr>
                <w:rFonts w:asciiTheme="majorHAnsi" w:hAnsiTheme="majorHAnsi" w:cstheme="majorHAnsi"/>
                <w:sz w:val="24"/>
                <w:szCs w:val="24"/>
              </w:rPr>
            </w:pPr>
          </w:p>
        </w:tc>
        <w:tc>
          <w:tcPr>
            <w:tcW w:w="720" w:type="dxa"/>
            <w:shd w:val="clear" w:color="auto" w:fill="595959"/>
            <w:vAlign w:val="center"/>
          </w:tcPr>
          <w:p w14:paraId="114C4A6D" w14:textId="77777777" w:rsidR="000451E6" w:rsidRPr="00DB6262" w:rsidRDefault="000451E6" w:rsidP="00AA26D1">
            <w:pPr>
              <w:spacing w:before="40" w:after="80"/>
              <w:rPr>
                <w:rFonts w:asciiTheme="majorHAnsi" w:hAnsiTheme="majorHAnsi" w:cstheme="majorHAnsi"/>
                <w:color w:val="FFFFFF"/>
                <w:sz w:val="24"/>
                <w:szCs w:val="24"/>
              </w:rPr>
            </w:pPr>
            <w:r w:rsidRPr="00DB6262">
              <w:rPr>
                <w:rFonts w:asciiTheme="majorHAnsi" w:hAnsiTheme="majorHAnsi" w:cstheme="majorHAnsi"/>
                <w:color w:val="FFFFFF"/>
                <w:sz w:val="24"/>
                <w:szCs w:val="24"/>
              </w:rPr>
              <w:t>Date</w:t>
            </w:r>
          </w:p>
        </w:tc>
        <w:tc>
          <w:tcPr>
            <w:tcW w:w="1710" w:type="dxa"/>
            <w:tcBorders>
              <w:right w:val="single" w:sz="12" w:space="0" w:color="004A82"/>
            </w:tcBorders>
            <w:vAlign w:val="center"/>
          </w:tcPr>
          <w:p w14:paraId="36CFE78D" w14:textId="77777777" w:rsidR="000451E6" w:rsidRPr="00DB6262" w:rsidRDefault="000451E6" w:rsidP="00AA26D1">
            <w:pPr>
              <w:spacing w:before="40" w:after="80"/>
              <w:rPr>
                <w:rFonts w:asciiTheme="majorHAnsi" w:hAnsiTheme="majorHAnsi" w:cstheme="majorHAnsi"/>
                <w:sz w:val="24"/>
                <w:szCs w:val="24"/>
              </w:rPr>
            </w:pPr>
          </w:p>
        </w:tc>
      </w:tr>
      <w:tr w:rsidR="000451E6" w:rsidRPr="00DB6262" w14:paraId="62B272E0" w14:textId="77777777" w:rsidTr="00AA26D1">
        <w:tc>
          <w:tcPr>
            <w:tcW w:w="2340" w:type="dxa"/>
            <w:tcBorders>
              <w:left w:val="single" w:sz="12" w:space="0" w:color="004A82"/>
            </w:tcBorders>
            <w:shd w:val="clear" w:color="auto" w:fill="595959"/>
            <w:vAlign w:val="center"/>
          </w:tcPr>
          <w:p w14:paraId="62E0B4EE" w14:textId="67304512" w:rsidR="000451E6" w:rsidRPr="00DB6262" w:rsidRDefault="000451E6" w:rsidP="00AA26D1">
            <w:pPr>
              <w:spacing w:before="40" w:after="40"/>
              <w:rPr>
                <w:rFonts w:asciiTheme="majorHAnsi" w:hAnsiTheme="majorHAnsi" w:cstheme="majorHAnsi"/>
                <w:color w:val="FFFFFF"/>
                <w:sz w:val="24"/>
                <w:szCs w:val="24"/>
              </w:rPr>
            </w:pPr>
            <w:r w:rsidRPr="00DB6262">
              <w:rPr>
                <w:rFonts w:asciiTheme="majorHAnsi" w:hAnsiTheme="majorHAnsi" w:cstheme="majorHAnsi"/>
                <w:color w:val="FFFFFF"/>
                <w:sz w:val="24"/>
                <w:szCs w:val="24"/>
              </w:rPr>
              <w:t>People Operations Manager</w:t>
            </w:r>
          </w:p>
        </w:tc>
        <w:tc>
          <w:tcPr>
            <w:tcW w:w="3060" w:type="dxa"/>
            <w:vAlign w:val="center"/>
          </w:tcPr>
          <w:p w14:paraId="6189F171" w14:textId="4789FF92" w:rsidR="000451E6" w:rsidRPr="00DB6262" w:rsidRDefault="00DB6262" w:rsidP="00AA26D1">
            <w:pPr>
              <w:spacing w:before="40" w:after="80"/>
              <w:rPr>
                <w:rFonts w:asciiTheme="majorHAnsi" w:hAnsiTheme="majorHAnsi" w:cstheme="majorHAnsi"/>
                <w:sz w:val="24"/>
                <w:szCs w:val="24"/>
              </w:rPr>
            </w:pPr>
            <w:r w:rsidRPr="00DB6262">
              <w:rPr>
                <w:rFonts w:asciiTheme="majorHAnsi" w:hAnsiTheme="majorHAnsi" w:cstheme="majorHAnsi"/>
                <w:sz w:val="24"/>
                <w:szCs w:val="24"/>
              </w:rPr>
              <w:t>Julian Patrick Summers</w:t>
            </w:r>
          </w:p>
        </w:tc>
        <w:tc>
          <w:tcPr>
            <w:tcW w:w="1170" w:type="dxa"/>
            <w:shd w:val="clear" w:color="auto" w:fill="595959"/>
            <w:vAlign w:val="center"/>
          </w:tcPr>
          <w:p w14:paraId="040053DF" w14:textId="77777777" w:rsidR="000451E6" w:rsidRPr="00DB6262" w:rsidRDefault="000451E6" w:rsidP="00AA26D1">
            <w:pPr>
              <w:rPr>
                <w:rFonts w:asciiTheme="majorHAnsi" w:hAnsiTheme="majorHAnsi" w:cstheme="majorHAnsi"/>
                <w:color w:val="FFFFFF"/>
                <w:sz w:val="24"/>
                <w:szCs w:val="24"/>
              </w:rPr>
            </w:pPr>
            <w:r w:rsidRPr="00DB6262">
              <w:rPr>
                <w:rFonts w:asciiTheme="majorHAnsi" w:hAnsiTheme="majorHAnsi" w:cstheme="majorHAnsi"/>
                <w:color w:val="FFFFFF"/>
                <w:sz w:val="24"/>
                <w:szCs w:val="24"/>
              </w:rPr>
              <w:t>Signature</w:t>
            </w:r>
          </w:p>
        </w:tc>
        <w:tc>
          <w:tcPr>
            <w:tcW w:w="2340" w:type="dxa"/>
            <w:vAlign w:val="center"/>
          </w:tcPr>
          <w:p w14:paraId="1B9E40FF" w14:textId="77777777" w:rsidR="000451E6" w:rsidRPr="00DB6262" w:rsidRDefault="000451E6" w:rsidP="00AA26D1">
            <w:pPr>
              <w:spacing w:before="40" w:after="80"/>
              <w:rPr>
                <w:rFonts w:asciiTheme="majorHAnsi" w:hAnsiTheme="majorHAnsi" w:cstheme="majorHAnsi"/>
                <w:sz w:val="24"/>
                <w:szCs w:val="24"/>
              </w:rPr>
            </w:pPr>
          </w:p>
        </w:tc>
        <w:tc>
          <w:tcPr>
            <w:tcW w:w="720" w:type="dxa"/>
            <w:shd w:val="clear" w:color="auto" w:fill="595959"/>
            <w:vAlign w:val="center"/>
          </w:tcPr>
          <w:p w14:paraId="213025D8" w14:textId="77777777" w:rsidR="000451E6" w:rsidRPr="00DB6262" w:rsidRDefault="000451E6" w:rsidP="00AA26D1">
            <w:pPr>
              <w:rPr>
                <w:rFonts w:asciiTheme="majorHAnsi" w:hAnsiTheme="majorHAnsi" w:cstheme="majorHAnsi"/>
                <w:color w:val="FFFFFF"/>
                <w:sz w:val="24"/>
                <w:szCs w:val="24"/>
              </w:rPr>
            </w:pPr>
            <w:r w:rsidRPr="00DB6262">
              <w:rPr>
                <w:rFonts w:asciiTheme="majorHAnsi" w:hAnsiTheme="majorHAnsi" w:cstheme="majorHAnsi"/>
                <w:color w:val="FFFFFF"/>
                <w:sz w:val="24"/>
                <w:szCs w:val="24"/>
              </w:rPr>
              <w:t>Date</w:t>
            </w:r>
          </w:p>
        </w:tc>
        <w:tc>
          <w:tcPr>
            <w:tcW w:w="1710" w:type="dxa"/>
            <w:tcBorders>
              <w:right w:val="single" w:sz="12" w:space="0" w:color="004A82"/>
            </w:tcBorders>
            <w:vAlign w:val="center"/>
          </w:tcPr>
          <w:p w14:paraId="4F289394" w14:textId="77777777" w:rsidR="000451E6" w:rsidRPr="00DB6262" w:rsidRDefault="000451E6" w:rsidP="00AA26D1">
            <w:pPr>
              <w:spacing w:before="40" w:after="80"/>
              <w:rPr>
                <w:rFonts w:asciiTheme="majorHAnsi" w:hAnsiTheme="majorHAnsi" w:cstheme="majorHAnsi"/>
                <w:sz w:val="24"/>
                <w:szCs w:val="24"/>
              </w:rPr>
            </w:pPr>
          </w:p>
        </w:tc>
      </w:tr>
      <w:tr w:rsidR="000451E6" w:rsidRPr="00DB6262" w14:paraId="66F44479" w14:textId="77777777" w:rsidTr="00AA26D1">
        <w:tc>
          <w:tcPr>
            <w:tcW w:w="2340" w:type="dxa"/>
            <w:tcBorders>
              <w:left w:val="single" w:sz="12" w:space="0" w:color="004A82"/>
              <w:bottom w:val="single" w:sz="12" w:space="0" w:color="004A82"/>
            </w:tcBorders>
            <w:shd w:val="clear" w:color="auto" w:fill="595959"/>
            <w:vAlign w:val="center"/>
          </w:tcPr>
          <w:p w14:paraId="72EDDA9B" w14:textId="77777777" w:rsidR="000451E6" w:rsidRPr="00DB6262" w:rsidRDefault="000451E6" w:rsidP="00AA26D1">
            <w:pPr>
              <w:spacing w:before="40" w:after="40"/>
              <w:rPr>
                <w:rFonts w:asciiTheme="majorHAnsi" w:hAnsiTheme="majorHAnsi" w:cstheme="majorHAnsi"/>
                <w:color w:val="FFFFFF"/>
                <w:sz w:val="24"/>
                <w:szCs w:val="24"/>
              </w:rPr>
            </w:pPr>
            <w:r w:rsidRPr="00DB6262">
              <w:rPr>
                <w:rFonts w:asciiTheme="majorHAnsi" w:hAnsiTheme="majorHAnsi" w:cstheme="majorHAnsi"/>
                <w:color w:val="FFFFFF"/>
                <w:sz w:val="24"/>
                <w:szCs w:val="24"/>
              </w:rPr>
              <w:t>CEO</w:t>
            </w:r>
          </w:p>
        </w:tc>
        <w:tc>
          <w:tcPr>
            <w:tcW w:w="3060" w:type="dxa"/>
            <w:tcBorders>
              <w:bottom w:val="single" w:sz="12" w:space="0" w:color="004A82"/>
            </w:tcBorders>
            <w:vAlign w:val="center"/>
          </w:tcPr>
          <w:p w14:paraId="29E86758" w14:textId="656679FA" w:rsidR="000451E6" w:rsidRPr="00DB6262" w:rsidRDefault="00DB6262" w:rsidP="00AA26D1">
            <w:pPr>
              <w:spacing w:before="40" w:after="80"/>
              <w:rPr>
                <w:rFonts w:asciiTheme="majorHAnsi" w:hAnsiTheme="majorHAnsi" w:cstheme="majorHAnsi"/>
                <w:sz w:val="24"/>
                <w:szCs w:val="24"/>
              </w:rPr>
            </w:pPr>
            <w:r w:rsidRPr="00DB6262">
              <w:rPr>
                <w:rFonts w:asciiTheme="majorHAnsi" w:hAnsiTheme="majorHAnsi" w:cstheme="majorHAnsi"/>
                <w:sz w:val="24"/>
                <w:szCs w:val="24"/>
              </w:rPr>
              <w:t>Ali Al-Sulaiti</w:t>
            </w:r>
          </w:p>
        </w:tc>
        <w:tc>
          <w:tcPr>
            <w:tcW w:w="1170" w:type="dxa"/>
            <w:tcBorders>
              <w:bottom w:val="single" w:sz="12" w:space="0" w:color="004A82"/>
            </w:tcBorders>
            <w:shd w:val="clear" w:color="auto" w:fill="595959"/>
            <w:vAlign w:val="center"/>
          </w:tcPr>
          <w:p w14:paraId="53D15856" w14:textId="77777777" w:rsidR="000451E6" w:rsidRPr="00DB6262" w:rsidRDefault="000451E6" w:rsidP="00AA26D1">
            <w:pPr>
              <w:rPr>
                <w:rFonts w:asciiTheme="majorHAnsi" w:hAnsiTheme="majorHAnsi" w:cstheme="majorHAnsi"/>
                <w:color w:val="FFFFFF"/>
                <w:sz w:val="24"/>
                <w:szCs w:val="24"/>
              </w:rPr>
            </w:pPr>
            <w:r w:rsidRPr="00DB6262">
              <w:rPr>
                <w:rFonts w:asciiTheme="majorHAnsi" w:hAnsiTheme="majorHAnsi" w:cstheme="majorHAnsi"/>
                <w:color w:val="FFFFFF"/>
                <w:sz w:val="24"/>
                <w:szCs w:val="24"/>
              </w:rPr>
              <w:t>Signature</w:t>
            </w:r>
          </w:p>
        </w:tc>
        <w:tc>
          <w:tcPr>
            <w:tcW w:w="2340" w:type="dxa"/>
            <w:tcBorders>
              <w:bottom w:val="single" w:sz="12" w:space="0" w:color="004A82"/>
            </w:tcBorders>
            <w:vAlign w:val="center"/>
          </w:tcPr>
          <w:p w14:paraId="2136AC04" w14:textId="77777777" w:rsidR="000451E6" w:rsidRPr="00DB6262" w:rsidRDefault="000451E6" w:rsidP="00AA26D1">
            <w:pPr>
              <w:spacing w:before="40" w:after="80"/>
              <w:rPr>
                <w:rFonts w:asciiTheme="majorHAnsi" w:hAnsiTheme="majorHAnsi" w:cstheme="majorHAnsi"/>
                <w:sz w:val="24"/>
                <w:szCs w:val="24"/>
              </w:rPr>
            </w:pPr>
          </w:p>
        </w:tc>
        <w:tc>
          <w:tcPr>
            <w:tcW w:w="720" w:type="dxa"/>
            <w:tcBorders>
              <w:bottom w:val="single" w:sz="12" w:space="0" w:color="004A82"/>
            </w:tcBorders>
            <w:shd w:val="clear" w:color="auto" w:fill="595959"/>
            <w:vAlign w:val="center"/>
          </w:tcPr>
          <w:p w14:paraId="4971E7F3" w14:textId="77777777" w:rsidR="000451E6" w:rsidRPr="00DB6262" w:rsidRDefault="000451E6" w:rsidP="00AA26D1">
            <w:pPr>
              <w:rPr>
                <w:rFonts w:asciiTheme="majorHAnsi" w:hAnsiTheme="majorHAnsi" w:cstheme="majorHAnsi"/>
                <w:color w:val="FFFFFF"/>
                <w:sz w:val="24"/>
                <w:szCs w:val="24"/>
              </w:rPr>
            </w:pPr>
            <w:r w:rsidRPr="00DB6262">
              <w:rPr>
                <w:rFonts w:asciiTheme="majorHAnsi" w:hAnsiTheme="majorHAnsi" w:cstheme="majorHAnsi"/>
                <w:color w:val="FFFFFF"/>
                <w:sz w:val="24"/>
                <w:szCs w:val="24"/>
              </w:rPr>
              <w:t>Date</w:t>
            </w:r>
          </w:p>
        </w:tc>
        <w:tc>
          <w:tcPr>
            <w:tcW w:w="1710" w:type="dxa"/>
            <w:tcBorders>
              <w:bottom w:val="single" w:sz="12" w:space="0" w:color="004A82"/>
              <w:right w:val="single" w:sz="12" w:space="0" w:color="004A82"/>
            </w:tcBorders>
            <w:vAlign w:val="center"/>
          </w:tcPr>
          <w:p w14:paraId="31DC2E98" w14:textId="77777777" w:rsidR="000451E6" w:rsidRPr="00DB6262" w:rsidRDefault="000451E6" w:rsidP="00AA26D1">
            <w:pPr>
              <w:spacing w:before="40" w:after="80"/>
              <w:rPr>
                <w:rFonts w:asciiTheme="majorHAnsi" w:hAnsiTheme="majorHAnsi" w:cstheme="majorHAnsi"/>
                <w:sz w:val="24"/>
                <w:szCs w:val="24"/>
              </w:rPr>
            </w:pPr>
          </w:p>
        </w:tc>
      </w:tr>
    </w:tbl>
    <w:p w14:paraId="43F3CC32" w14:textId="77777777" w:rsidR="000451E6" w:rsidRPr="004A0AA5" w:rsidRDefault="000451E6" w:rsidP="000451E6">
      <w:pPr>
        <w:ind w:firstLine="288"/>
        <w:rPr>
          <w:rFonts w:ascii="Calibri Light" w:hAnsi="Calibri Light" w:cs="Calibri Light"/>
        </w:rPr>
      </w:pPr>
    </w:p>
    <w:p w14:paraId="7AED65C3" w14:textId="77777777" w:rsidR="000451E6" w:rsidRPr="004A0AA5" w:rsidRDefault="000451E6" w:rsidP="000451E6">
      <w:pPr>
        <w:tabs>
          <w:tab w:val="left" w:pos="2943"/>
        </w:tabs>
        <w:ind w:left="-284" w:firstLine="284"/>
        <w:rPr>
          <w:rFonts w:ascii="Calibri Light" w:hAnsi="Calibri Light" w:cs="Calibri Light"/>
        </w:rPr>
      </w:pPr>
    </w:p>
    <w:p w14:paraId="0065F49C" w14:textId="77777777" w:rsidR="000451E6" w:rsidRPr="004A0AA5" w:rsidRDefault="000451E6" w:rsidP="000451E6">
      <w:pPr>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CC:</w:t>
      </w:r>
    </w:p>
    <w:p w14:paraId="6265C76E" w14:textId="77777777" w:rsidR="000451E6" w:rsidRPr="004A0AA5" w:rsidRDefault="000451E6" w:rsidP="000451E6">
      <w:pPr>
        <w:pStyle w:val="ListParagraph"/>
        <w:numPr>
          <w:ilvl w:val="0"/>
          <w:numId w:val="1"/>
        </w:numPr>
        <w:spacing w:after="200" w:line="276" w:lineRule="auto"/>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Employee personal file</w:t>
      </w:r>
    </w:p>
    <w:p w14:paraId="75A0C118" w14:textId="77777777" w:rsidR="000451E6" w:rsidRPr="004A0AA5" w:rsidRDefault="000451E6" w:rsidP="000451E6">
      <w:pPr>
        <w:pStyle w:val="ListParagraph"/>
        <w:numPr>
          <w:ilvl w:val="0"/>
          <w:numId w:val="1"/>
        </w:numPr>
        <w:spacing w:after="200" w:line="276" w:lineRule="auto"/>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Human Recourses Manpower File</w:t>
      </w:r>
    </w:p>
    <w:p w14:paraId="331CA0CB" w14:textId="77777777" w:rsidR="000451E6" w:rsidRPr="004A0AA5" w:rsidRDefault="000451E6" w:rsidP="000451E6">
      <w:pPr>
        <w:rPr>
          <w:rFonts w:ascii="Calibri Light" w:hAnsi="Calibri Light" w:cs="Calibri Light"/>
        </w:rPr>
      </w:pPr>
    </w:p>
    <w:p w14:paraId="2E8965F6" w14:textId="77777777" w:rsidR="006F7B9C" w:rsidRPr="00497C29" w:rsidRDefault="006F7B9C" w:rsidP="00497C29"/>
    <w:sectPr w:rsidR="006F7B9C" w:rsidRPr="00497C29" w:rsidSect="00C45005">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5BF4" w14:textId="77777777" w:rsidR="00AF7A0E" w:rsidRDefault="00AF7A0E" w:rsidP="006A18B8">
      <w:pPr>
        <w:spacing w:after="0" w:line="240" w:lineRule="auto"/>
      </w:pPr>
      <w:r>
        <w:separator/>
      </w:r>
    </w:p>
  </w:endnote>
  <w:endnote w:type="continuationSeparator" w:id="0">
    <w:p w14:paraId="5B8EEFCF" w14:textId="77777777" w:rsidR="00AF7A0E" w:rsidRDefault="00AF7A0E" w:rsidP="006A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A580" w14:textId="77777777" w:rsidR="00B228A1" w:rsidRDefault="00B22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339"/>
    </w:tblGrid>
    <w:tr w:rsidR="006A18B8" w14:paraId="2533AB9E" w14:textId="77777777" w:rsidTr="006A18B8">
      <w:trPr>
        <w:trHeight w:val="443"/>
      </w:trPr>
      <w:tc>
        <w:tcPr>
          <w:tcW w:w="4844" w:type="dxa"/>
          <w:tcBorders>
            <w:right w:val="single" w:sz="24" w:space="0" w:color="auto"/>
          </w:tcBorders>
        </w:tcPr>
        <w:p w14:paraId="67D15072" w14:textId="223D4105" w:rsidR="006A18B8" w:rsidRPr="00655062" w:rsidRDefault="006A18B8" w:rsidP="006A18B8">
          <w:pPr>
            <w:rPr>
              <w:rFonts w:ascii="Roboto" w:hAnsi="Roboto"/>
              <w:color w:val="000000" w:themeColor="text1"/>
              <w:sz w:val="16"/>
              <w:szCs w:val="20"/>
            </w:rPr>
          </w:pPr>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Pr>
              <w:rFonts w:ascii="Roboto" w:hAnsi="Roboto"/>
              <w:color w:val="000000" w:themeColor="text1"/>
              <w:sz w:val="16"/>
              <w:szCs w:val="20"/>
            </w:rPr>
            <w:t>k</w:t>
          </w:r>
          <w:r w:rsidRPr="00655062">
            <w:rPr>
              <w:rFonts w:ascii="Roboto" w:hAnsi="Roboto"/>
              <w:color w:val="000000" w:themeColor="text1"/>
              <w:sz w:val="16"/>
              <w:szCs w:val="20"/>
            </w:rPr>
            <w:t xml:space="preserve">, </w:t>
          </w:r>
          <w:r>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442" w:type="dxa"/>
          <w:tcBorders>
            <w:left w:val="single" w:sz="24" w:space="0" w:color="auto"/>
          </w:tcBorders>
        </w:tcPr>
        <w:p w14:paraId="640815A8" w14:textId="77777777" w:rsidR="006A18B8" w:rsidRDefault="006A18B8" w:rsidP="006A18B8">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6A18B8" w14:paraId="66D52534" w14:textId="77777777" w:rsidTr="006A18B8">
      <w:trPr>
        <w:trHeight w:val="443"/>
      </w:trPr>
      <w:tc>
        <w:tcPr>
          <w:tcW w:w="4844" w:type="dxa"/>
          <w:tcBorders>
            <w:right w:val="single" w:sz="24" w:space="0" w:color="auto"/>
          </w:tcBorders>
        </w:tcPr>
        <w:p w14:paraId="4A4BA138" w14:textId="3A26A49A" w:rsidR="006A18B8" w:rsidRDefault="006A18B8" w:rsidP="006A18B8">
          <w:pPr>
            <w:rPr>
              <w:rFonts w:ascii="Roboto" w:hAnsi="Roboto"/>
              <w:color w:val="000000" w:themeColor="text1"/>
              <w:sz w:val="16"/>
              <w:szCs w:val="20"/>
            </w:rPr>
          </w:pPr>
          <w:r w:rsidRPr="003D5FAF">
            <w:rPr>
              <w:rFonts w:ascii="Roboto" w:hAnsi="Roboto"/>
              <w:color w:val="000000" w:themeColor="text1"/>
              <w:sz w:val="16"/>
              <w:szCs w:val="20"/>
            </w:rPr>
            <w:t xml:space="preserve">Company Incorporation Number: </w:t>
          </w:r>
          <w:r w:rsidR="00FB150E">
            <w:rPr>
              <w:rFonts w:ascii="Roboto" w:hAnsi="Roboto"/>
              <w:color w:val="000000" w:themeColor="text1"/>
              <w:sz w:val="16"/>
              <w:szCs w:val="20"/>
            </w:rPr>
            <w:t>STP034</w:t>
          </w:r>
        </w:p>
        <w:p w14:paraId="5274AC7F" w14:textId="77777777" w:rsidR="006A18B8" w:rsidRDefault="006A18B8" w:rsidP="006A18B8">
          <w:pPr>
            <w:rPr>
              <w:rFonts w:ascii="Roboto" w:hAnsi="Roboto"/>
              <w:color w:val="000000" w:themeColor="text1"/>
              <w:sz w:val="16"/>
              <w:szCs w:val="20"/>
            </w:rPr>
          </w:pPr>
        </w:p>
      </w:tc>
      <w:tc>
        <w:tcPr>
          <w:tcW w:w="4442" w:type="dxa"/>
          <w:tcBorders>
            <w:left w:val="single" w:sz="24" w:space="0" w:color="auto"/>
          </w:tcBorders>
        </w:tcPr>
        <w:p w14:paraId="610A6518" w14:textId="11CA3CEE" w:rsidR="006A18B8" w:rsidRDefault="006A18B8" w:rsidP="006A18B8">
          <w:pPr>
            <w:rPr>
              <w:rFonts w:ascii="Roboto" w:hAnsi="Roboto"/>
              <w:color w:val="000000" w:themeColor="text1"/>
              <w:sz w:val="16"/>
              <w:szCs w:val="20"/>
            </w:rPr>
          </w:pPr>
          <w:r>
            <w:rPr>
              <w:rFonts w:ascii="Roboto" w:hAnsi="Roboto"/>
              <w:color w:val="000000" w:themeColor="text1"/>
              <w:sz w:val="16"/>
              <w:szCs w:val="20"/>
            </w:rPr>
            <w:t>Website: www.bqsolutions.</w:t>
          </w:r>
          <w:r w:rsidR="0082710F">
            <w:rPr>
              <w:rFonts w:ascii="Roboto" w:hAnsi="Roboto"/>
              <w:color w:val="000000" w:themeColor="text1"/>
              <w:sz w:val="16"/>
              <w:szCs w:val="20"/>
            </w:rPr>
            <w:t>com.qa</w:t>
          </w:r>
        </w:p>
      </w:tc>
    </w:tr>
  </w:tbl>
  <w:p w14:paraId="331B65CD" w14:textId="2517EF1F" w:rsidR="006A18B8" w:rsidRDefault="004B3408">
    <w:pPr>
      <w:pStyle w:val="Footer"/>
    </w:pPr>
    <w:r>
      <w:rPr>
        <w:noProof/>
      </w:rPr>
      <mc:AlternateContent>
        <mc:Choice Requires="wps">
          <w:drawing>
            <wp:anchor distT="0" distB="0" distL="114300" distR="114300" simplePos="0" relativeHeight="251660288" behindDoc="1" locked="0" layoutInCell="1" allowOverlap="1" wp14:anchorId="536AA79E" wp14:editId="2FC431A0">
              <wp:simplePos x="0" y="0"/>
              <wp:positionH relativeFrom="page">
                <wp:align>left</wp:align>
              </wp:positionH>
              <wp:positionV relativeFrom="paragraph">
                <wp:posOffset>-698363</wp:posOffset>
              </wp:positionV>
              <wp:extent cx="7791450" cy="1089329"/>
              <wp:effectExtent l="0" t="0" r="0" b="0"/>
              <wp:wrapNone/>
              <wp:docPr id="1368225361" name="Rectangle 4"/>
              <wp:cNvGraphicFramePr/>
              <a:graphic xmlns:a="http://schemas.openxmlformats.org/drawingml/2006/main">
                <a:graphicData uri="http://schemas.microsoft.com/office/word/2010/wordprocessingShape">
                  <wps:wsp>
                    <wps:cNvSpPr/>
                    <wps:spPr>
                      <a:xfrm>
                        <a:off x="0" y="0"/>
                        <a:ext cx="7791450" cy="1089329"/>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0E5318" id="Rectangle 4" o:spid="_x0000_s1026" style="position:absolute;margin-left:0;margin-top:-55pt;width:613.5pt;height:85.75pt;z-index:-25165619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veQIAAGMFAAAOAAAAZHJzL2Uyb0RvYy54bWysVFFP2zAQfp+0/2D5fSTpyoCKFFUgpkmI&#10;ocHEs3FsYsnxeWe3affrd3bSlDG0h2kvju27+8735bs7v9h2lm0UBgOu5tVRyZlyEhrjnmv+/eH6&#10;wylnIQrXCAtO1XynAr9Yvn933vuFmkELtlHICMSFRe9r3sboF0URZKs6EY7AK0dGDdiJSEd8LhoU&#10;PaF3tpiV5aeiB2w8glQh0O3VYOTLjK+1kvGr1kFFZmtOb4t5xbw+pbVYnovFMwrfGjk+Q/zDKzph&#10;HCWdoK5EFGyN5g+ozkiEADoeSegK0NpIlWugaqryVTX3rfAq10LkBD/RFP4frLzd3Ps7JBp6HxaB&#10;tqmKrcYufel9bJvJ2k1kqW1kki5PTs6q+TFxKslWladnH2dnic7iEO4xxM8KOpY2NUf6G5kksbkJ&#10;cXDdu6RsAaxpro21+ZAUoC4tso2gfyekVC7OxwS/eVqX/B2kyAE03RSHevIu7qxKftZ9U5qZhiqY&#10;5cdkqb1OVA2mVjRqyF8dl2VWC5U3ReRiM2BC1pR/wh4B3iqiGosY/VOoykqdgsu/PWwocYrImcHF&#10;KbgzDvAtABunzIP/nqSBmsTSEzS7O2QIQ58EL68N/bobEeKdQGoM+t3U7PErLdpCX3MYd5y1gD/f&#10;uk/+pFeyctZTo9U8/FgLVJzZL46UTCqap87Mh/nxyYwO+NLy9NLi1t0lkB4qGite5m3yj3a/1Qjd&#10;I82EVcpKJuEk5a65jLg/XMZhANBUkWq1ym7UjV7EG3fvZQJPrCZpPmwfBfpRv5Gkfwv7phSLVzIe&#10;fFOkg9U6gjZZ4wdeR76pk7NwxqmTRsXLc/Y6zMblLwAAAP//AwBQSwMEFAAGAAgAAAAhAFcnY4jh&#10;AAAACQEAAA8AAABkcnMvZG93bnJldi54bWxMj81OwzAQhO9IvIO1SFxQ6zhAgRCnIkgceuGnRULc&#10;3HibRMTrKHba9O3ZnuA2qxnNfpMvJ9eJPQ6h9aRBzRMQSJW3LdUaPjcvs3sQIRqypvOEGo4YYFmc&#10;n+Ums/5AH7hfx1pwCYXMaGhi7DMpQ9WgM2HueyT2dn5wJvI51NIO5sDlrpNpkiykMy3xh8b0+Nxg&#10;9bMenYZxpY67m7f6erUpy+/y4f2qj1+vWl9eTE+PICJO8S8MJ3xGh4KZtn4kG0SngYdEDTOlElYn&#10;P03vWG01LNQtyCKX/xcUvwAAAP//AwBQSwECLQAUAAYACAAAACEAtoM4kv4AAADhAQAAEwAAAAAA&#10;AAAAAAAAAAAAAAAAW0NvbnRlbnRfVHlwZXNdLnhtbFBLAQItABQABgAIAAAAIQA4/SH/1gAAAJQB&#10;AAALAAAAAAAAAAAAAAAAAC8BAABfcmVscy8ucmVsc1BLAQItABQABgAIAAAAIQAhtj/veQIAAGMF&#10;AAAOAAAAAAAAAAAAAAAAAC4CAABkcnMvZTJvRG9jLnhtbFBLAQItABQABgAIAAAAIQBXJ2OI4QAA&#10;AAkBAAAPAAAAAAAAAAAAAAAAANMEAABkcnMvZG93bnJldi54bWxQSwUGAAAAAAQABADzAAAA4QUA&#10;AAAA&#10;" fillcolor="#ffc000 [3207]"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6F7" w14:textId="77777777" w:rsidR="00B228A1" w:rsidRDefault="00B22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DF9A" w14:textId="77777777" w:rsidR="00AF7A0E" w:rsidRDefault="00AF7A0E" w:rsidP="006A18B8">
      <w:pPr>
        <w:spacing w:after="0" w:line="240" w:lineRule="auto"/>
      </w:pPr>
      <w:r>
        <w:separator/>
      </w:r>
    </w:p>
  </w:footnote>
  <w:footnote w:type="continuationSeparator" w:id="0">
    <w:p w14:paraId="1EF13248" w14:textId="77777777" w:rsidR="00AF7A0E" w:rsidRDefault="00AF7A0E" w:rsidP="006A1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7FD6" w14:textId="77777777" w:rsidR="00B228A1" w:rsidRDefault="00B22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1DAF" w14:textId="25B13795" w:rsidR="006A18B8" w:rsidRDefault="001B31D0">
    <w:pPr>
      <w:pStyle w:val="Header"/>
    </w:pPr>
    <w:r w:rsidRPr="001B31D0">
      <w:rPr>
        <w:noProof/>
      </w:rPr>
      <w:drawing>
        <wp:anchor distT="0" distB="0" distL="114300" distR="114300" simplePos="0" relativeHeight="251661312" behindDoc="1" locked="0" layoutInCell="1" allowOverlap="1" wp14:anchorId="2157FFE4" wp14:editId="07BC4E46">
          <wp:simplePos x="0" y="0"/>
          <wp:positionH relativeFrom="page">
            <wp:align>right</wp:align>
          </wp:positionH>
          <wp:positionV relativeFrom="paragraph">
            <wp:posOffset>-461795</wp:posOffset>
          </wp:positionV>
          <wp:extent cx="7557770" cy="883285"/>
          <wp:effectExtent l="0" t="0" r="5080" b="0"/>
          <wp:wrapTight wrapText="bothSides">
            <wp:wrapPolygon edited="0">
              <wp:start x="0" y="0"/>
              <wp:lineTo x="0" y="20963"/>
              <wp:lineTo x="21560" y="20963"/>
              <wp:lineTo x="21560" y="0"/>
              <wp:lineTo x="0" y="0"/>
            </wp:wrapPolygon>
          </wp:wrapTight>
          <wp:docPr id="932190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90560" name=""/>
                  <pic:cNvPicPr/>
                </pic:nvPicPr>
                <pic:blipFill>
                  <a:blip r:embed="rId1">
                    <a:extLst>
                      <a:ext uri="{28A0092B-C50C-407E-A947-70E740481C1C}">
                        <a14:useLocalDpi xmlns:a14="http://schemas.microsoft.com/office/drawing/2010/main" val="0"/>
                      </a:ext>
                    </a:extLst>
                  </a:blip>
                  <a:stretch>
                    <a:fillRect/>
                  </a:stretch>
                </pic:blipFill>
                <pic:spPr>
                  <a:xfrm>
                    <a:off x="0" y="0"/>
                    <a:ext cx="7557770" cy="883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6D4D" w14:textId="77777777" w:rsidR="00B228A1" w:rsidRDefault="00B2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696"/>
    <w:multiLevelType w:val="multilevel"/>
    <w:tmpl w:val="E43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23B22"/>
    <w:multiLevelType w:val="multilevel"/>
    <w:tmpl w:val="A5A4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92FE6"/>
    <w:multiLevelType w:val="multilevel"/>
    <w:tmpl w:val="7FDC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F0809"/>
    <w:multiLevelType w:val="multilevel"/>
    <w:tmpl w:val="CC1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D7F8D"/>
    <w:multiLevelType w:val="multilevel"/>
    <w:tmpl w:val="34AC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41CE3"/>
    <w:multiLevelType w:val="multilevel"/>
    <w:tmpl w:val="F49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5B7101"/>
    <w:multiLevelType w:val="multilevel"/>
    <w:tmpl w:val="E5B4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E3DED"/>
    <w:multiLevelType w:val="multilevel"/>
    <w:tmpl w:val="DB0C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D608A"/>
    <w:multiLevelType w:val="multilevel"/>
    <w:tmpl w:val="AF64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560499">
    <w:abstractNumId w:val="7"/>
  </w:num>
  <w:num w:numId="2" w16cid:durableId="1258710445">
    <w:abstractNumId w:val="1"/>
  </w:num>
  <w:num w:numId="3" w16cid:durableId="1335258096">
    <w:abstractNumId w:val="6"/>
  </w:num>
  <w:num w:numId="4" w16cid:durableId="1562323026">
    <w:abstractNumId w:val="2"/>
  </w:num>
  <w:num w:numId="5" w16cid:durableId="299650899">
    <w:abstractNumId w:val="0"/>
  </w:num>
  <w:num w:numId="6" w16cid:durableId="1757510869">
    <w:abstractNumId w:val="8"/>
  </w:num>
  <w:num w:numId="7" w16cid:durableId="160314450">
    <w:abstractNumId w:val="4"/>
  </w:num>
  <w:num w:numId="8" w16cid:durableId="889531546">
    <w:abstractNumId w:val="9"/>
  </w:num>
  <w:num w:numId="9" w16cid:durableId="871189257">
    <w:abstractNumId w:val="3"/>
  </w:num>
  <w:num w:numId="10" w16cid:durableId="2100130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B8"/>
    <w:rsid w:val="00001155"/>
    <w:rsid w:val="00012B5C"/>
    <w:rsid w:val="000451E6"/>
    <w:rsid w:val="000676EA"/>
    <w:rsid w:val="0007579A"/>
    <w:rsid w:val="000B1D8B"/>
    <w:rsid w:val="000B328D"/>
    <w:rsid w:val="000B468C"/>
    <w:rsid w:val="000D0625"/>
    <w:rsid w:val="000F4132"/>
    <w:rsid w:val="001857E9"/>
    <w:rsid w:val="001A7CB4"/>
    <w:rsid w:val="001B31D0"/>
    <w:rsid w:val="001D1E50"/>
    <w:rsid w:val="001E0CFE"/>
    <w:rsid w:val="002A3FB3"/>
    <w:rsid w:val="002C3341"/>
    <w:rsid w:val="002F7870"/>
    <w:rsid w:val="00303A3F"/>
    <w:rsid w:val="00305FF3"/>
    <w:rsid w:val="00314129"/>
    <w:rsid w:val="00332CAF"/>
    <w:rsid w:val="00381922"/>
    <w:rsid w:val="00386CDE"/>
    <w:rsid w:val="003E5088"/>
    <w:rsid w:val="003E69FB"/>
    <w:rsid w:val="004078B6"/>
    <w:rsid w:val="00432C5B"/>
    <w:rsid w:val="00437E25"/>
    <w:rsid w:val="00454C0C"/>
    <w:rsid w:val="004659A5"/>
    <w:rsid w:val="00497C29"/>
    <w:rsid w:val="004A120D"/>
    <w:rsid w:val="004B3408"/>
    <w:rsid w:val="004D154A"/>
    <w:rsid w:val="005273CD"/>
    <w:rsid w:val="00534FD3"/>
    <w:rsid w:val="0055509A"/>
    <w:rsid w:val="00570591"/>
    <w:rsid w:val="00591E7F"/>
    <w:rsid w:val="00611448"/>
    <w:rsid w:val="00680D77"/>
    <w:rsid w:val="006A18B8"/>
    <w:rsid w:val="006D5B12"/>
    <w:rsid w:val="006F7B9C"/>
    <w:rsid w:val="007179B6"/>
    <w:rsid w:val="00722AB8"/>
    <w:rsid w:val="00736CFB"/>
    <w:rsid w:val="007D7DEF"/>
    <w:rsid w:val="007E0B49"/>
    <w:rsid w:val="007E1165"/>
    <w:rsid w:val="007F2036"/>
    <w:rsid w:val="0082710F"/>
    <w:rsid w:val="00834C93"/>
    <w:rsid w:val="008C4332"/>
    <w:rsid w:val="008C4926"/>
    <w:rsid w:val="008D71DC"/>
    <w:rsid w:val="008F27A1"/>
    <w:rsid w:val="008F76C6"/>
    <w:rsid w:val="0090235F"/>
    <w:rsid w:val="00912366"/>
    <w:rsid w:val="0092365D"/>
    <w:rsid w:val="009877AA"/>
    <w:rsid w:val="00991AE9"/>
    <w:rsid w:val="009B032E"/>
    <w:rsid w:val="009C46C9"/>
    <w:rsid w:val="009C56AF"/>
    <w:rsid w:val="00A059B5"/>
    <w:rsid w:val="00A304CF"/>
    <w:rsid w:val="00A319E6"/>
    <w:rsid w:val="00A43086"/>
    <w:rsid w:val="00A6508B"/>
    <w:rsid w:val="00AB1B7D"/>
    <w:rsid w:val="00AC7A7E"/>
    <w:rsid w:val="00AF7A0E"/>
    <w:rsid w:val="00B228A1"/>
    <w:rsid w:val="00B408ED"/>
    <w:rsid w:val="00B51A3E"/>
    <w:rsid w:val="00B818AF"/>
    <w:rsid w:val="00C10214"/>
    <w:rsid w:val="00C45005"/>
    <w:rsid w:val="00C661B9"/>
    <w:rsid w:val="00C8591E"/>
    <w:rsid w:val="00CE73A5"/>
    <w:rsid w:val="00D02436"/>
    <w:rsid w:val="00D51F30"/>
    <w:rsid w:val="00DB6262"/>
    <w:rsid w:val="00DE043D"/>
    <w:rsid w:val="00E33E15"/>
    <w:rsid w:val="00E352CD"/>
    <w:rsid w:val="00E55E97"/>
    <w:rsid w:val="00E81ED8"/>
    <w:rsid w:val="00EA0C10"/>
    <w:rsid w:val="00EA2FC7"/>
    <w:rsid w:val="00EB3171"/>
    <w:rsid w:val="00F145E3"/>
    <w:rsid w:val="00F64B40"/>
    <w:rsid w:val="00FA10DC"/>
    <w:rsid w:val="00FB150E"/>
    <w:rsid w:val="00FF62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EB81"/>
  <w15:chartTrackingRefBased/>
  <w15:docId w15:val="{E3C3E5CE-97D1-4CD2-8991-846DC543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5">
    <w:name w:val="heading 5"/>
    <w:basedOn w:val="Normal"/>
    <w:next w:val="Normal"/>
    <w:link w:val="Heading5Char"/>
    <w:uiPriority w:val="9"/>
    <w:semiHidden/>
    <w:unhideWhenUsed/>
    <w:qFormat/>
    <w:rsid w:val="000451E6"/>
    <w:pPr>
      <w:keepNext/>
      <w:keepLines/>
      <w:spacing w:before="40" w:after="0" w:line="27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8B8"/>
    <w:rPr>
      <w:lang w:val="en-GB"/>
    </w:rPr>
  </w:style>
  <w:style w:type="paragraph" w:styleId="Footer">
    <w:name w:val="footer"/>
    <w:basedOn w:val="Normal"/>
    <w:link w:val="FooterChar"/>
    <w:uiPriority w:val="99"/>
    <w:unhideWhenUsed/>
    <w:rsid w:val="006A1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8B8"/>
    <w:rPr>
      <w:lang w:val="en-GB"/>
    </w:rPr>
  </w:style>
  <w:style w:type="table" w:styleId="TableGrid">
    <w:name w:val="Table Grid"/>
    <w:basedOn w:val="TableNormal"/>
    <w:uiPriority w:val="59"/>
    <w:rsid w:val="006A18B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4332"/>
    <w:pPr>
      <w:spacing w:after="0" w:line="240" w:lineRule="auto"/>
    </w:pPr>
    <w:rPr>
      <w:lang w:val="en-GB"/>
    </w:rPr>
  </w:style>
  <w:style w:type="paragraph" w:styleId="ListParagraph">
    <w:name w:val="List Paragraph"/>
    <w:basedOn w:val="Normal"/>
    <w:uiPriority w:val="34"/>
    <w:qFormat/>
    <w:rsid w:val="00611448"/>
    <w:pPr>
      <w:ind w:left="720"/>
      <w:contextualSpacing/>
    </w:pPr>
  </w:style>
  <w:style w:type="paragraph" w:styleId="BodyText">
    <w:name w:val="Body Text"/>
    <w:basedOn w:val="Normal"/>
    <w:link w:val="BodyTextChar"/>
    <w:uiPriority w:val="99"/>
    <w:semiHidden/>
    <w:unhideWhenUsed/>
    <w:rsid w:val="006F7B9C"/>
    <w:pPr>
      <w:spacing w:after="120"/>
    </w:pPr>
  </w:style>
  <w:style w:type="character" w:customStyle="1" w:styleId="BodyTextChar">
    <w:name w:val="Body Text Char"/>
    <w:basedOn w:val="DefaultParagraphFont"/>
    <w:link w:val="BodyText"/>
    <w:uiPriority w:val="99"/>
    <w:semiHidden/>
    <w:rsid w:val="006F7B9C"/>
    <w:rPr>
      <w:lang w:val="en-GB"/>
    </w:rPr>
  </w:style>
  <w:style w:type="character" w:customStyle="1" w:styleId="Heading5Char">
    <w:name w:val="Heading 5 Char"/>
    <w:basedOn w:val="DefaultParagraphFont"/>
    <w:link w:val="Heading5"/>
    <w:uiPriority w:val="9"/>
    <w:semiHidden/>
    <w:rsid w:val="000451E6"/>
    <w:rPr>
      <w:rFonts w:asciiTheme="majorHAnsi" w:eastAsiaTheme="majorEastAsia" w:hAnsiTheme="majorHAnsi" w:cstheme="majorBidi"/>
      <w:color w:val="2F5496" w:themeColor="accent1" w:themeShade="BF"/>
      <w:lang w:val="en-GB"/>
    </w:rPr>
  </w:style>
  <w:style w:type="paragraph" w:customStyle="1" w:styleId="bullet">
    <w:name w:val="bullet"/>
    <w:basedOn w:val="Normal"/>
    <w:rsid w:val="000451E6"/>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E8EC333AD5C4798FFE1418B7DCE36" ma:contentTypeVersion="2" ma:contentTypeDescription="Create a new document." ma:contentTypeScope="" ma:versionID="5e4aa7b9d1b4e2de421a93d553607eeb">
  <xsd:schema xmlns:xsd="http://www.w3.org/2001/XMLSchema" xmlns:xs="http://www.w3.org/2001/XMLSchema" xmlns:p="http://schemas.microsoft.com/office/2006/metadata/properties" xmlns:ns2="d6fcfd37-e57c-4d99-8ef9-c6739f9d2eeb" targetNamespace="http://schemas.microsoft.com/office/2006/metadata/properties" ma:root="true" ma:fieldsID="86706176e93b8765e0ae35a5fba73e06" ns2:_="">
    <xsd:import namespace="d6fcfd37-e57c-4d99-8ef9-c6739f9d2ee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cfd37-e57c-4d99-8ef9-c6739f9d2e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95986-71F2-489A-A6D4-B2EF2CE82B86}">
  <ds:schemaRefs>
    <ds:schemaRef ds:uri="http://schemas.microsoft.com/sharepoint/v3/contenttype/forms"/>
  </ds:schemaRefs>
</ds:datastoreItem>
</file>

<file path=customXml/itemProps2.xml><?xml version="1.0" encoding="utf-8"?>
<ds:datastoreItem xmlns:ds="http://schemas.openxmlformats.org/officeDocument/2006/customXml" ds:itemID="{5392CA21-B536-42F0-BC99-A1ADB7438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C5A298-3FAB-4366-B38A-AA87C64A2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cfd37-e57c-4d99-8ef9-c6739f9d2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622</Words>
  <Characters>4114</Characters>
  <Application>Microsoft Office Word</Application>
  <DocSecurity>0</DocSecurity>
  <Lines>87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Harris</dc:creator>
  <cp:keywords/>
  <dc:description/>
  <cp:lastModifiedBy>Mae Arabelle</cp:lastModifiedBy>
  <cp:revision>12</cp:revision>
  <cp:lastPrinted>2026-04-01T09:41:00Z</cp:lastPrinted>
  <dcterms:created xsi:type="dcterms:W3CDTF">2026-03-26T04:57:00Z</dcterms:created>
  <dcterms:modified xsi:type="dcterms:W3CDTF">2026-04-26T07:21:00Z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0x010100B52E8EC333AD5C4798FFE1418B7DCE36</vt:lpwstr>
  </property>
</Properties>
</file>