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E30F84" w:rsidRDefault="006E3588" w:rsidP="003D6318">
            <w:pPr>
              <w:pStyle w:val="bullet"/>
              <w:spacing w:before="40" w:after="40"/>
              <w:rPr>
                <w:rFonts w:asciiTheme="minorHAnsi" w:hAnsiTheme="minorHAnsi" w:cstheme="minorHAnsi"/>
                <w:sz w:val="22"/>
                <w:szCs w:val="22"/>
              </w:rPr>
            </w:pPr>
            <w:r w:rsidRPr="00E30F84">
              <w:rPr>
                <w:rFonts w:asciiTheme="minorHAnsi" w:hAnsiTheme="minorHAnsi" w:cstheme="minorHAnsi"/>
                <w:sz w:val="22"/>
                <w:szCs w:val="22"/>
              </w:rPr>
              <w:t xml:space="preserve">Grade </w:t>
            </w:r>
            <w:r w:rsidR="00A47E65" w:rsidRPr="00E30F84">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4248E2E9" w:rsidR="00F4172D" w:rsidRPr="00E30F84" w:rsidRDefault="00E30F84" w:rsidP="003D6318">
            <w:pPr>
              <w:pStyle w:val="bullet"/>
              <w:spacing w:before="40" w:after="40"/>
              <w:rPr>
                <w:rFonts w:asciiTheme="minorHAnsi" w:hAnsiTheme="minorHAnsi" w:cstheme="minorHAnsi"/>
                <w:sz w:val="22"/>
                <w:szCs w:val="22"/>
              </w:rPr>
            </w:pPr>
            <w:r w:rsidRPr="00E30F84">
              <w:rPr>
                <w:rFonts w:asciiTheme="minorHAnsi" w:hAnsiTheme="minorHAnsi" w:cstheme="minorHAnsi"/>
                <w:sz w:val="22"/>
                <w:szCs w:val="22"/>
              </w:rPr>
              <w:t>Sales Support</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E30F84" w:rsidRDefault="00F4172D" w:rsidP="003D6318">
            <w:pPr>
              <w:spacing w:before="40" w:after="40"/>
              <w:ind w:left="-21" w:firstLine="21"/>
              <w:rPr>
                <w:rFonts w:cstheme="minorHAnsi"/>
              </w:rPr>
            </w:pPr>
            <w:r w:rsidRPr="00E30F84">
              <w:rPr>
                <w:rFonts w:cstheme="minorHAnsi"/>
              </w:rPr>
              <w:fldChar w:fldCharType="begin">
                <w:ffData>
                  <w:name w:val="Check2"/>
                  <w:enabled/>
                  <w:calcOnExit w:val="0"/>
                  <w:checkBox>
                    <w:sizeAuto/>
                    <w:default w:val="1"/>
                  </w:checkBox>
                </w:ffData>
              </w:fldChar>
            </w:r>
            <w:r w:rsidRPr="00E30F84">
              <w:rPr>
                <w:rFonts w:cstheme="minorHAnsi"/>
              </w:rPr>
              <w:instrText xml:space="preserve"> FORMCHECKBOX </w:instrText>
            </w:r>
            <w:r w:rsidRPr="00E30F84">
              <w:rPr>
                <w:rFonts w:cstheme="minorHAnsi"/>
              </w:rPr>
            </w:r>
            <w:r w:rsidRPr="00E30F84">
              <w:rPr>
                <w:rFonts w:cstheme="minorHAnsi"/>
              </w:rPr>
              <w:fldChar w:fldCharType="separate"/>
            </w:r>
            <w:r w:rsidRPr="00E30F84">
              <w:rPr>
                <w:rFonts w:cstheme="minorHAnsi"/>
              </w:rPr>
              <w:fldChar w:fldCharType="end"/>
            </w:r>
            <w:r w:rsidRPr="00E30F84">
              <w:rPr>
                <w:rFonts w:cstheme="minorHAnsi"/>
              </w:rPr>
              <w:t xml:space="preserve"> BQ Solutions     </w:t>
            </w:r>
            <w:r w:rsidRPr="00E30F84">
              <w:rPr>
                <w:rFonts w:cstheme="minorHAnsi"/>
              </w:rPr>
              <w:fldChar w:fldCharType="begin">
                <w:ffData>
                  <w:name w:val="Check4"/>
                  <w:enabled/>
                  <w:calcOnExit w:val="0"/>
                  <w:checkBox>
                    <w:sizeAuto/>
                    <w:default w:val="0"/>
                  </w:checkBox>
                </w:ffData>
              </w:fldChar>
            </w:r>
            <w:bookmarkStart w:id="0" w:name="Check4"/>
            <w:r w:rsidRPr="00E30F84">
              <w:rPr>
                <w:rFonts w:cstheme="minorHAnsi"/>
              </w:rPr>
              <w:instrText xml:space="preserve"> FORMCHECKBOX </w:instrText>
            </w:r>
            <w:r w:rsidRPr="00E30F84">
              <w:rPr>
                <w:rFonts w:cstheme="minorHAnsi"/>
              </w:rPr>
            </w:r>
            <w:r w:rsidRPr="00E30F84">
              <w:rPr>
                <w:rFonts w:cstheme="minorHAnsi"/>
              </w:rPr>
              <w:fldChar w:fldCharType="separate"/>
            </w:r>
            <w:r w:rsidRPr="00E30F84">
              <w:rPr>
                <w:rFonts w:cstheme="minorHAnsi"/>
              </w:rPr>
              <w:fldChar w:fldCharType="end"/>
            </w:r>
            <w:bookmarkEnd w:id="0"/>
            <w:r w:rsidRPr="00E30F84">
              <w:rPr>
                <w:rFonts w:cstheme="minorHAnsi"/>
              </w:rPr>
              <w:t xml:space="preserve"> Barzan Holdings  </w:t>
            </w:r>
            <w:r w:rsidRPr="00E30F84">
              <w:rPr>
                <w:rFonts w:cstheme="minorHAnsi"/>
              </w:rPr>
              <w:fldChar w:fldCharType="begin">
                <w:ffData>
                  <w:name w:val="Check4"/>
                  <w:enabled/>
                  <w:calcOnExit w:val="0"/>
                  <w:checkBox>
                    <w:sizeAuto/>
                    <w:default w:val="0"/>
                  </w:checkBox>
                </w:ffData>
              </w:fldChar>
            </w:r>
            <w:r w:rsidRPr="00E30F84">
              <w:rPr>
                <w:rFonts w:cstheme="minorHAnsi"/>
              </w:rPr>
              <w:instrText xml:space="preserve"> FORMCHECKBOX </w:instrText>
            </w:r>
            <w:r w:rsidRPr="00E30F84">
              <w:rPr>
                <w:rFonts w:cstheme="minorHAnsi"/>
              </w:rPr>
            </w:r>
            <w:r w:rsidRPr="00E30F84">
              <w:rPr>
                <w:rFonts w:cstheme="minorHAnsi"/>
              </w:rPr>
              <w:fldChar w:fldCharType="separate"/>
            </w:r>
            <w:r w:rsidRPr="00E30F84">
              <w:rPr>
                <w:rFonts w:cstheme="minorHAnsi"/>
              </w:rPr>
              <w:fldChar w:fldCharType="end"/>
            </w:r>
            <w:r w:rsidRPr="00E30F84">
              <w:rPr>
                <w:rFonts w:cstheme="minorHAnsi"/>
              </w:rPr>
              <w:t xml:space="preserve"> Other JVs</w:t>
            </w:r>
            <w:r w:rsidR="00DC42D5" w:rsidRPr="00E30F84">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281A2FA3" w:rsidR="00F4172D" w:rsidRPr="00E30F84" w:rsidRDefault="00E30F84" w:rsidP="00A47E65">
            <w:pPr>
              <w:spacing w:before="40" w:after="40"/>
              <w:rPr>
                <w:rFonts w:cstheme="minorHAnsi"/>
              </w:rPr>
            </w:pPr>
            <w:r w:rsidRPr="00E30F84">
              <w:rPr>
                <w:rFonts w:cstheme="minorHAnsi"/>
              </w:rPr>
              <w:t>Business Development Clerical &amp; Administrative Support</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0462CF3F" w:rsidR="00F4172D" w:rsidRPr="00E30F84" w:rsidRDefault="00E30F84" w:rsidP="000311CD">
            <w:pPr>
              <w:spacing w:before="40" w:after="40"/>
              <w:rPr>
                <w:rFonts w:cstheme="minorHAnsi"/>
                <w:iCs/>
              </w:rPr>
            </w:pPr>
            <w:r w:rsidRPr="00E30F84">
              <w:rPr>
                <w:rFonts w:cstheme="minorHAnsi"/>
                <w:iCs/>
              </w:rPr>
              <w:t>Head of BD &amp; Commercial Growth</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6AE3CF98"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w:t>
            </w:r>
            <w:r w:rsidR="00E30F84" w:rsidRPr="00E30F84">
              <w:rPr>
                <w:color w:val="000000" w:themeColor="text1"/>
                <w:sz w:val="18"/>
                <w:szCs w:val="18"/>
                <w:lang w:val="en-US"/>
              </w:rPr>
              <w:t>Sales Support Administrator</w:t>
            </w:r>
            <w:r w:rsidR="00E30F84">
              <w:rPr>
                <w:color w:val="000000" w:themeColor="text1"/>
                <w:sz w:val="18"/>
                <w:szCs w:val="18"/>
                <w:lang w:val="en-US"/>
              </w:rPr>
              <w:t>’s</w:t>
            </w:r>
            <w:r w:rsidR="00E30F84" w:rsidRPr="00E30F84">
              <w:rPr>
                <w:color w:val="000000" w:themeColor="text1"/>
                <w:sz w:val="18"/>
                <w:szCs w:val="18"/>
                <w:lang w:val="en-US"/>
              </w:rPr>
              <w:t xml:space="preserve"> to provide clerical and administrative support to the Business Development team. The role ensures smooth handling of documentation, reporting, and coordination tasks, enabling BD Managers and Proposal Writers to focus on client engagement and revenue generation.</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00B840CB" w14:textId="4D6F5012" w:rsidR="00E30F84" w:rsidRPr="00E30F84" w:rsidRDefault="00E30F84">
            <w:pPr>
              <w:pStyle w:val="ListParagraph"/>
              <w:numPr>
                <w:ilvl w:val="0"/>
                <w:numId w:val="2"/>
              </w:numPr>
              <w:ind w:left="181" w:hanging="181"/>
              <w:rPr>
                <w:sz w:val="18"/>
                <w:szCs w:val="18"/>
                <w:lang w:val="en-US"/>
              </w:rPr>
            </w:pPr>
            <w:r w:rsidRPr="00E30F84">
              <w:rPr>
                <w:sz w:val="18"/>
                <w:szCs w:val="18"/>
                <w:lang w:val="en-US"/>
              </w:rPr>
              <w:t>Prepare, format, and distribute sales documents, proposals, and reports.</w:t>
            </w:r>
          </w:p>
          <w:p w14:paraId="3985D0E5" w14:textId="425F9051" w:rsidR="00E30F84" w:rsidRPr="00E30F84" w:rsidRDefault="00E30F84">
            <w:pPr>
              <w:pStyle w:val="ListParagraph"/>
              <w:numPr>
                <w:ilvl w:val="0"/>
                <w:numId w:val="2"/>
              </w:numPr>
              <w:ind w:left="181" w:hanging="181"/>
              <w:rPr>
                <w:sz w:val="18"/>
                <w:szCs w:val="18"/>
                <w:lang w:val="en-US"/>
              </w:rPr>
            </w:pPr>
            <w:r w:rsidRPr="00E30F84">
              <w:rPr>
                <w:sz w:val="18"/>
                <w:szCs w:val="18"/>
                <w:lang w:val="en-US"/>
              </w:rPr>
              <w:t>Maintain and update client databases, sales records, and pipeline trackers.</w:t>
            </w:r>
          </w:p>
          <w:p w14:paraId="21AB82A3" w14:textId="67303BBB" w:rsidR="00E30F84" w:rsidRPr="00E30F84" w:rsidRDefault="00E30F84">
            <w:pPr>
              <w:pStyle w:val="ListParagraph"/>
              <w:numPr>
                <w:ilvl w:val="0"/>
                <w:numId w:val="2"/>
              </w:numPr>
              <w:ind w:left="181" w:hanging="181"/>
              <w:rPr>
                <w:sz w:val="18"/>
                <w:szCs w:val="18"/>
                <w:lang w:val="en-US"/>
              </w:rPr>
            </w:pPr>
            <w:r w:rsidRPr="00E30F84">
              <w:rPr>
                <w:sz w:val="18"/>
                <w:szCs w:val="18"/>
                <w:lang w:val="en-US"/>
              </w:rPr>
              <w:t>Support BD Managers with meeting scheduling, agendas, and minutes.</w:t>
            </w:r>
          </w:p>
          <w:p w14:paraId="0C4B2D53" w14:textId="407059A3" w:rsidR="00E30F84" w:rsidRPr="00E30F84" w:rsidRDefault="00E30F84">
            <w:pPr>
              <w:pStyle w:val="ListParagraph"/>
              <w:numPr>
                <w:ilvl w:val="0"/>
                <w:numId w:val="2"/>
              </w:numPr>
              <w:ind w:left="181" w:hanging="181"/>
              <w:rPr>
                <w:sz w:val="18"/>
                <w:szCs w:val="18"/>
                <w:lang w:val="en-US"/>
              </w:rPr>
            </w:pPr>
            <w:r w:rsidRPr="00E30F84">
              <w:rPr>
                <w:sz w:val="18"/>
                <w:szCs w:val="18"/>
                <w:lang w:val="en-US"/>
              </w:rPr>
              <w:t>Handle routine correspondence, calls, and enquiries professionally.</w:t>
            </w:r>
          </w:p>
          <w:p w14:paraId="66763827" w14:textId="312BA0DA" w:rsidR="00E30F84" w:rsidRPr="00E30F84" w:rsidRDefault="00E30F84">
            <w:pPr>
              <w:pStyle w:val="ListParagraph"/>
              <w:numPr>
                <w:ilvl w:val="0"/>
                <w:numId w:val="2"/>
              </w:numPr>
              <w:ind w:left="181" w:hanging="181"/>
              <w:rPr>
                <w:sz w:val="18"/>
                <w:szCs w:val="18"/>
                <w:lang w:val="en-US"/>
              </w:rPr>
            </w:pPr>
            <w:r w:rsidRPr="00E30F84">
              <w:rPr>
                <w:sz w:val="18"/>
                <w:szCs w:val="18"/>
                <w:lang w:val="en-US"/>
              </w:rPr>
              <w:t>Assist with bid submissions by collating inputs and ensuring deadlines are met.</w:t>
            </w:r>
          </w:p>
          <w:p w14:paraId="3CC379FD" w14:textId="71C68E7A" w:rsidR="00E30F84" w:rsidRPr="00E30F84" w:rsidRDefault="00E30F84">
            <w:pPr>
              <w:pStyle w:val="ListParagraph"/>
              <w:numPr>
                <w:ilvl w:val="0"/>
                <w:numId w:val="2"/>
              </w:numPr>
              <w:ind w:left="181" w:hanging="181"/>
              <w:rPr>
                <w:sz w:val="18"/>
                <w:szCs w:val="18"/>
                <w:lang w:val="en-US"/>
              </w:rPr>
            </w:pPr>
            <w:r w:rsidRPr="00E30F84">
              <w:rPr>
                <w:sz w:val="18"/>
                <w:szCs w:val="18"/>
                <w:lang w:val="en-US"/>
              </w:rPr>
              <w:t>Provide logistical and clerical support for industry events, exhibitions, and client meetings.</w:t>
            </w:r>
          </w:p>
          <w:p w14:paraId="52D709DC" w14:textId="6954E2DE" w:rsidR="00E30F84" w:rsidRPr="00E30F84" w:rsidRDefault="00E30F84">
            <w:pPr>
              <w:pStyle w:val="ListParagraph"/>
              <w:numPr>
                <w:ilvl w:val="0"/>
                <w:numId w:val="2"/>
              </w:numPr>
              <w:ind w:left="181" w:hanging="181"/>
              <w:rPr>
                <w:sz w:val="18"/>
                <w:szCs w:val="18"/>
                <w:lang w:val="en-US"/>
              </w:rPr>
            </w:pPr>
            <w:r w:rsidRPr="00E30F84">
              <w:rPr>
                <w:sz w:val="18"/>
                <w:szCs w:val="18"/>
                <w:lang w:val="en-US"/>
              </w:rPr>
              <w:t>Monitor and replenish BD office supplies and marketing collateral.</w:t>
            </w:r>
          </w:p>
          <w:p w14:paraId="39BD4645" w14:textId="1EA224ED" w:rsidR="00C4450F" w:rsidRPr="00E30F84" w:rsidRDefault="00E30F84">
            <w:pPr>
              <w:pStyle w:val="ListParagraph"/>
              <w:numPr>
                <w:ilvl w:val="0"/>
                <w:numId w:val="2"/>
              </w:numPr>
              <w:ind w:left="181" w:hanging="181"/>
              <w:rPr>
                <w:sz w:val="18"/>
                <w:szCs w:val="18"/>
                <w:lang w:val="en-US"/>
              </w:rPr>
            </w:pPr>
            <w:r w:rsidRPr="00E30F84">
              <w:rPr>
                <w:sz w:val="18"/>
                <w:szCs w:val="18"/>
                <w:lang w:val="en-US"/>
              </w:rPr>
              <w:t>Liaise with Market Research Analyst and Proposal Writer to ensure data and content are aligned.</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696C9DA2" w14:textId="7A598E65" w:rsidR="00E30F84" w:rsidRPr="00E30F84" w:rsidRDefault="00E30F84">
            <w:pPr>
              <w:pStyle w:val="ListParagraph"/>
              <w:numPr>
                <w:ilvl w:val="0"/>
                <w:numId w:val="3"/>
              </w:numPr>
              <w:ind w:left="181" w:hanging="181"/>
              <w:rPr>
                <w:sz w:val="18"/>
                <w:szCs w:val="18"/>
                <w:lang w:val="en-US"/>
              </w:rPr>
            </w:pPr>
            <w:r w:rsidRPr="00E30F84">
              <w:rPr>
                <w:sz w:val="18"/>
                <w:szCs w:val="18"/>
                <w:lang w:val="en-US"/>
              </w:rPr>
              <w:t>Accurate and timely production of BD documents and reports.</w:t>
            </w:r>
          </w:p>
          <w:p w14:paraId="19093E1F" w14:textId="154C6B5F" w:rsidR="00E30F84" w:rsidRPr="00E30F84" w:rsidRDefault="00E30F84">
            <w:pPr>
              <w:pStyle w:val="ListParagraph"/>
              <w:numPr>
                <w:ilvl w:val="0"/>
                <w:numId w:val="3"/>
              </w:numPr>
              <w:ind w:left="181" w:hanging="181"/>
              <w:rPr>
                <w:sz w:val="18"/>
                <w:szCs w:val="18"/>
                <w:lang w:val="en-US"/>
              </w:rPr>
            </w:pPr>
            <w:r w:rsidRPr="00E30F84">
              <w:rPr>
                <w:sz w:val="18"/>
                <w:szCs w:val="18"/>
                <w:lang w:val="en-US"/>
              </w:rPr>
              <w:t>Well</w:t>
            </w:r>
            <w:r>
              <w:rPr>
                <w:rFonts w:ascii="Cambria Math" w:hAnsi="Cambria Math" w:cs="Cambria Math"/>
                <w:sz w:val="18"/>
                <w:szCs w:val="18"/>
                <w:lang w:val="en-US"/>
              </w:rPr>
              <w:t xml:space="preserve"> </w:t>
            </w:r>
            <w:r w:rsidRPr="00E30F84">
              <w:rPr>
                <w:sz w:val="18"/>
                <w:szCs w:val="18"/>
                <w:lang w:val="en-US"/>
              </w:rPr>
              <w:t>maintained client and pipeline records.</w:t>
            </w:r>
          </w:p>
          <w:p w14:paraId="450B969A" w14:textId="411B80A1" w:rsidR="00E30F84" w:rsidRPr="00E30F84" w:rsidRDefault="00E30F84">
            <w:pPr>
              <w:pStyle w:val="ListParagraph"/>
              <w:numPr>
                <w:ilvl w:val="0"/>
                <w:numId w:val="3"/>
              </w:numPr>
              <w:ind w:left="181" w:hanging="181"/>
              <w:rPr>
                <w:sz w:val="18"/>
                <w:szCs w:val="18"/>
                <w:lang w:val="en-US"/>
              </w:rPr>
            </w:pPr>
            <w:r w:rsidRPr="00E30F84">
              <w:rPr>
                <w:sz w:val="18"/>
                <w:szCs w:val="18"/>
                <w:lang w:val="en-US"/>
              </w:rPr>
              <w:t>Efficient handling of correspondence and enquiries.</w:t>
            </w:r>
          </w:p>
          <w:p w14:paraId="5629D4CC" w14:textId="689D6C88" w:rsidR="000311CD" w:rsidRPr="00E30F84" w:rsidRDefault="00E30F84">
            <w:pPr>
              <w:pStyle w:val="ListParagraph"/>
              <w:numPr>
                <w:ilvl w:val="0"/>
                <w:numId w:val="3"/>
              </w:numPr>
              <w:ind w:left="181" w:hanging="181"/>
              <w:rPr>
                <w:sz w:val="18"/>
                <w:szCs w:val="18"/>
                <w:lang w:val="en-US"/>
              </w:rPr>
            </w:pPr>
            <w:r w:rsidRPr="00E30F84">
              <w:rPr>
                <w:sz w:val="18"/>
                <w:szCs w:val="18"/>
                <w:lang w:val="en-US"/>
              </w:rPr>
              <w:t>Effective clerical support for BD campaigns, bids, and events.</w:t>
            </w:r>
          </w:p>
          <w:p w14:paraId="4537191C" w14:textId="0196616F" w:rsidR="006E3588" w:rsidRPr="006651B6" w:rsidRDefault="006E3588" w:rsidP="006651B6">
            <w:pPr>
              <w:rPr>
                <w:b/>
                <w:bCs/>
                <w:sz w:val="18"/>
                <w:szCs w:val="18"/>
                <w:lang w:val="en-US"/>
              </w:rPr>
            </w:pPr>
            <w:r w:rsidRPr="006651B6">
              <w:rPr>
                <w:b/>
                <w:bCs/>
                <w:sz w:val="18"/>
                <w:szCs w:val="18"/>
                <w:lang w:val="en-US"/>
              </w:rPr>
              <w:t>Skills &amp; Competencies:</w:t>
            </w:r>
          </w:p>
          <w:p w14:paraId="375EFE2D" w14:textId="60A1B787" w:rsidR="00E30F84" w:rsidRPr="00E30F84" w:rsidRDefault="00E30F84">
            <w:pPr>
              <w:pStyle w:val="ListParagraph"/>
              <w:numPr>
                <w:ilvl w:val="0"/>
                <w:numId w:val="4"/>
              </w:numPr>
              <w:ind w:left="181" w:hanging="181"/>
              <w:rPr>
                <w:sz w:val="18"/>
                <w:szCs w:val="18"/>
              </w:rPr>
            </w:pPr>
            <w:r w:rsidRPr="00E30F84">
              <w:rPr>
                <w:sz w:val="18"/>
                <w:szCs w:val="18"/>
              </w:rPr>
              <w:t>Strong organisational and clerical skills with high attention to detail.</w:t>
            </w:r>
          </w:p>
          <w:p w14:paraId="759BB797" w14:textId="370A9188" w:rsidR="00E30F84" w:rsidRPr="00E30F84" w:rsidRDefault="00E30F84">
            <w:pPr>
              <w:pStyle w:val="ListParagraph"/>
              <w:numPr>
                <w:ilvl w:val="0"/>
                <w:numId w:val="4"/>
              </w:numPr>
              <w:ind w:left="181" w:hanging="181"/>
              <w:rPr>
                <w:sz w:val="18"/>
                <w:szCs w:val="18"/>
              </w:rPr>
            </w:pPr>
            <w:r w:rsidRPr="00E30F84">
              <w:rPr>
                <w:sz w:val="18"/>
                <w:szCs w:val="18"/>
              </w:rPr>
              <w:t>Proficiency in Microsoft Office Suite and CRM systems.</w:t>
            </w:r>
          </w:p>
          <w:p w14:paraId="1760FBE8" w14:textId="2B7DEB65" w:rsidR="00E30F84" w:rsidRPr="00E30F84" w:rsidRDefault="00E30F84">
            <w:pPr>
              <w:pStyle w:val="ListParagraph"/>
              <w:numPr>
                <w:ilvl w:val="0"/>
                <w:numId w:val="4"/>
              </w:numPr>
              <w:ind w:left="181" w:hanging="181"/>
              <w:rPr>
                <w:sz w:val="18"/>
                <w:szCs w:val="18"/>
              </w:rPr>
            </w:pPr>
            <w:r w:rsidRPr="00E30F84">
              <w:rPr>
                <w:sz w:val="18"/>
                <w:szCs w:val="18"/>
              </w:rPr>
              <w:t>Good communication and interpersonal skills.</w:t>
            </w:r>
          </w:p>
          <w:p w14:paraId="4115EBAF" w14:textId="18BC4521" w:rsidR="00E30F84" w:rsidRPr="00E30F84" w:rsidRDefault="00E30F84">
            <w:pPr>
              <w:pStyle w:val="ListParagraph"/>
              <w:numPr>
                <w:ilvl w:val="0"/>
                <w:numId w:val="4"/>
              </w:numPr>
              <w:ind w:left="181" w:hanging="181"/>
              <w:rPr>
                <w:sz w:val="18"/>
                <w:szCs w:val="18"/>
              </w:rPr>
            </w:pPr>
            <w:r w:rsidRPr="00E30F84">
              <w:rPr>
                <w:sz w:val="18"/>
                <w:szCs w:val="18"/>
              </w:rPr>
              <w:t>Ability to manage multiple tasks and deadlines effectively.</w:t>
            </w:r>
          </w:p>
          <w:p w14:paraId="552C18E4" w14:textId="00FF63BB" w:rsidR="00F4172D" w:rsidRPr="00E30F84" w:rsidRDefault="00E30F84">
            <w:pPr>
              <w:pStyle w:val="ListParagraph"/>
              <w:numPr>
                <w:ilvl w:val="0"/>
                <w:numId w:val="4"/>
              </w:numPr>
              <w:ind w:left="181" w:hanging="181"/>
              <w:rPr>
                <w:sz w:val="18"/>
                <w:szCs w:val="18"/>
              </w:rPr>
            </w:pPr>
            <w:r w:rsidRPr="00E30F84">
              <w:rPr>
                <w:sz w:val="18"/>
                <w:szCs w:val="18"/>
              </w:rPr>
              <w:lastRenderedPageBreak/>
              <w:t>Reliable, adaptable, and discreet in handling sensitive business information.</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13A2E955" w14:textId="44335B38" w:rsidR="00E30F84" w:rsidRPr="00F128B1" w:rsidRDefault="00E30F84" w:rsidP="00E30F84">
            <w:pPr>
              <w:spacing w:before="100" w:beforeAutospacing="1" w:after="75" w:line="240" w:lineRule="auto"/>
              <w:rPr>
                <w:rFonts w:ascii="Calibri" w:hAnsi="Calibri" w:cs="Calibri"/>
                <w:sz w:val="18"/>
                <w:szCs w:val="18"/>
              </w:rPr>
            </w:pPr>
            <w:r w:rsidRPr="00F128B1">
              <w:rPr>
                <w:rFonts w:ascii="Calibri" w:hAnsi="Calibri" w:cs="Calibri"/>
                <w:sz w:val="18"/>
                <w:szCs w:val="18"/>
              </w:rPr>
              <w:t>High school diploma or equivalent (essential).</w:t>
            </w:r>
          </w:p>
          <w:p w14:paraId="209B25E7" w14:textId="6BDE24B6" w:rsidR="00E92C31" w:rsidRPr="00F128B1" w:rsidRDefault="00E30F84" w:rsidP="00E30F84">
            <w:pPr>
              <w:spacing w:before="100" w:beforeAutospacing="1" w:after="75" w:line="240" w:lineRule="auto"/>
              <w:rPr>
                <w:rFonts w:ascii="Calibri" w:hAnsi="Calibri" w:cs="Calibri"/>
                <w:sz w:val="18"/>
                <w:szCs w:val="18"/>
              </w:rPr>
            </w:pPr>
            <w:r w:rsidRPr="00F128B1">
              <w:rPr>
                <w:rFonts w:ascii="Calibri" w:hAnsi="Calibri" w:cs="Calibri"/>
                <w:sz w:val="18"/>
                <w:szCs w:val="18"/>
              </w:rPr>
              <w:t>Further administrative or clerical certification advantageous.</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290CD679" w14:textId="77777777" w:rsidR="00E30F84" w:rsidRPr="00F128B1" w:rsidRDefault="00E30F84" w:rsidP="00E30F84">
            <w:pPr>
              <w:spacing w:before="40" w:after="40" w:line="240" w:lineRule="auto"/>
              <w:rPr>
                <w:rFonts w:cstheme="minorHAnsi"/>
                <w:sz w:val="18"/>
                <w:szCs w:val="18"/>
              </w:rPr>
            </w:pPr>
            <w:r w:rsidRPr="00F128B1">
              <w:rPr>
                <w:rFonts w:cstheme="minorHAnsi"/>
                <w:sz w:val="18"/>
                <w:szCs w:val="18"/>
              </w:rPr>
              <w:t>Prior experience in an administrative, clerical, or sales support role.</w:t>
            </w:r>
          </w:p>
          <w:p w14:paraId="6C8C9C0C" w14:textId="77777777" w:rsidR="00E30F84" w:rsidRPr="00F128B1" w:rsidRDefault="00E30F84" w:rsidP="00E30F84">
            <w:pPr>
              <w:spacing w:before="40" w:after="40" w:line="240" w:lineRule="auto"/>
              <w:rPr>
                <w:rFonts w:cstheme="minorHAnsi"/>
                <w:sz w:val="18"/>
                <w:szCs w:val="18"/>
              </w:rPr>
            </w:pPr>
          </w:p>
          <w:p w14:paraId="565960F5" w14:textId="694B6C1F" w:rsidR="00F4172D" w:rsidRPr="00F128B1" w:rsidRDefault="00E30F84" w:rsidP="00E30F84">
            <w:pPr>
              <w:spacing w:before="40" w:after="40" w:line="240" w:lineRule="auto"/>
              <w:rPr>
                <w:rFonts w:cstheme="minorHAnsi"/>
                <w:sz w:val="18"/>
                <w:szCs w:val="18"/>
              </w:rPr>
            </w:pPr>
            <w:r w:rsidRPr="00F128B1">
              <w:rPr>
                <w:rFonts w:cstheme="minorHAnsi"/>
                <w:sz w:val="18"/>
                <w:szCs w:val="18"/>
              </w:rPr>
              <w:t>Familiarity with business development or sales environments desirable.</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7A8FD65F" w:rsidR="001A0777" w:rsidRPr="008D2AE6" w:rsidRDefault="00E30F84" w:rsidP="008E34E5">
            <w:pPr>
              <w:spacing w:before="40" w:after="80"/>
              <w:rPr>
                <w:rFonts w:cstheme="minorHAnsi"/>
                <w:sz w:val="18"/>
                <w:szCs w:val="18"/>
              </w:rPr>
            </w:pPr>
            <w:r w:rsidRPr="00E30F84">
              <w:rPr>
                <w:rFonts w:cstheme="minorHAnsi"/>
                <w:sz w:val="18"/>
                <w:szCs w:val="18"/>
              </w:rPr>
              <w:t>Based in Doha, Qatar, within a specialist military training camp. Requires regular interaction with BD Managers, Proposal Writers, and Client Relations staff. Involves responsibility for clerical support, documentation, and coordination of BD activities.</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872F" w14:textId="77777777" w:rsidR="00757C4D" w:rsidRDefault="00757C4D" w:rsidP="00711C5B">
      <w:pPr>
        <w:spacing w:after="0" w:line="240" w:lineRule="auto"/>
      </w:pPr>
      <w:r>
        <w:separator/>
      </w:r>
    </w:p>
  </w:endnote>
  <w:endnote w:type="continuationSeparator" w:id="0">
    <w:p w14:paraId="0E06880C" w14:textId="77777777" w:rsidR="00757C4D" w:rsidRDefault="00757C4D" w:rsidP="00711C5B">
      <w:pPr>
        <w:spacing w:after="0" w:line="240" w:lineRule="auto"/>
      </w:pPr>
      <w:r>
        <w:continuationSeparator/>
      </w:r>
    </w:p>
  </w:endnote>
  <w:endnote w:type="continuationNotice" w:id="1">
    <w:p w14:paraId="65383E60" w14:textId="77777777" w:rsidR="00757C4D" w:rsidRDefault="00757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3E05" w14:textId="77777777" w:rsidR="00757C4D" w:rsidRDefault="00757C4D" w:rsidP="00711C5B">
      <w:pPr>
        <w:spacing w:after="0" w:line="240" w:lineRule="auto"/>
      </w:pPr>
      <w:r>
        <w:separator/>
      </w:r>
    </w:p>
  </w:footnote>
  <w:footnote w:type="continuationSeparator" w:id="0">
    <w:p w14:paraId="7A936F86" w14:textId="77777777" w:rsidR="00757C4D" w:rsidRDefault="00757C4D" w:rsidP="00711C5B">
      <w:pPr>
        <w:spacing w:after="0" w:line="240" w:lineRule="auto"/>
      </w:pPr>
      <w:r>
        <w:continuationSeparator/>
      </w:r>
    </w:p>
  </w:footnote>
  <w:footnote w:type="continuationNotice" w:id="1">
    <w:p w14:paraId="4602C4E2" w14:textId="77777777" w:rsidR="00757C4D" w:rsidRDefault="00757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F9B"/>
    <w:multiLevelType w:val="hybridMultilevel"/>
    <w:tmpl w:val="B70A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F2BD1"/>
    <w:multiLevelType w:val="hybridMultilevel"/>
    <w:tmpl w:val="7082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7677025"/>
    <w:multiLevelType w:val="hybridMultilevel"/>
    <w:tmpl w:val="0A16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436985">
    <w:abstractNumId w:val="2"/>
  </w:num>
  <w:num w:numId="2" w16cid:durableId="1942566696">
    <w:abstractNumId w:val="3"/>
  </w:num>
  <w:num w:numId="3" w16cid:durableId="1080254880">
    <w:abstractNumId w:val="0"/>
  </w:num>
  <w:num w:numId="4" w16cid:durableId="208490827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3123"/>
    <w:rsid w:val="00046C4A"/>
    <w:rsid w:val="000517CE"/>
    <w:rsid w:val="000557C0"/>
    <w:rsid w:val="000745C8"/>
    <w:rsid w:val="00074E9F"/>
    <w:rsid w:val="00090997"/>
    <w:rsid w:val="00090F66"/>
    <w:rsid w:val="000B2E4C"/>
    <w:rsid w:val="000B76EA"/>
    <w:rsid w:val="000C4D4D"/>
    <w:rsid w:val="000D1DD4"/>
    <w:rsid w:val="000E284B"/>
    <w:rsid w:val="000E7E04"/>
    <w:rsid w:val="000F4178"/>
    <w:rsid w:val="000F5CB3"/>
    <w:rsid w:val="001120AA"/>
    <w:rsid w:val="00116E8D"/>
    <w:rsid w:val="00117C9C"/>
    <w:rsid w:val="00127183"/>
    <w:rsid w:val="001537A2"/>
    <w:rsid w:val="001553EE"/>
    <w:rsid w:val="00172DA8"/>
    <w:rsid w:val="001A0777"/>
    <w:rsid w:val="001C7B6B"/>
    <w:rsid w:val="001E70F2"/>
    <w:rsid w:val="001F49BA"/>
    <w:rsid w:val="0022705B"/>
    <w:rsid w:val="00234321"/>
    <w:rsid w:val="002442F6"/>
    <w:rsid w:val="00250051"/>
    <w:rsid w:val="00252A3D"/>
    <w:rsid w:val="00257A0E"/>
    <w:rsid w:val="00280FA3"/>
    <w:rsid w:val="00281BFC"/>
    <w:rsid w:val="002A00B7"/>
    <w:rsid w:val="002C6B87"/>
    <w:rsid w:val="002D4D90"/>
    <w:rsid w:val="002D5EDC"/>
    <w:rsid w:val="002E1F58"/>
    <w:rsid w:val="002F6284"/>
    <w:rsid w:val="00301183"/>
    <w:rsid w:val="00312231"/>
    <w:rsid w:val="00315AC0"/>
    <w:rsid w:val="00333D15"/>
    <w:rsid w:val="0037585F"/>
    <w:rsid w:val="00387F30"/>
    <w:rsid w:val="003C18DF"/>
    <w:rsid w:val="003D1D1D"/>
    <w:rsid w:val="003D5FAF"/>
    <w:rsid w:val="003D7B6B"/>
    <w:rsid w:val="003E21D0"/>
    <w:rsid w:val="003E7796"/>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44671"/>
    <w:rsid w:val="00544855"/>
    <w:rsid w:val="00574352"/>
    <w:rsid w:val="0058025E"/>
    <w:rsid w:val="005803AC"/>
    <w:rsid w:val="00584B2A"/>
    <w:rsid w:val="0058652F"/>
    <w:rsid w:val="005933E5"/>
    <w:rsid w:val="005B3F17"/>
    <w:rsid w:val="005B43DD"/>
    <w:rsid w:val="005B5491"/>
    <w:rsid w:val="005C4DF8"/>
    <w:rsid w:val="005C6F0D"/>
    <w:rsid w:val="005E36F6"/>
    <w:rsid w:val="006243CA"/>
    <w:rsid w:val="0064111F"/>
    <w:rsid w:val="00641995"/>
    <w:rsid w:val="00654E51"/>
    <w:rsid w:val="00655062"/>
    <w:rsid w:val="00656095"/>
    <w:rsid w:val="006640EE"/>
    <w:rsid w:val="006651B6"/>
    <w:rsid w:val="00682AD3"/>
    <w:rsid w:val="00695F17"/>
    <w:rsid w:val="006A4A72"/>
    <w:rsid w:val="006B60B6"/>
    <w:rsid w:val="006D6E24"/>
    <w:rsid w:val="006E02D0"/>
    <w:rsid w:val="006E3588"/>
    <w:rsid w:val="00711C5B"/>
    <w:rsid w:val="00715691"/>
    <w:rsid w:val="0073483F"/>
    <w:rsid w:val="007408A0"/>
    <w:rsid w:val="00741763"/>
    <w:rsid w:val="00751DED"/>
    <w:rsid w:val="00757C4D"/>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E0A36"/>
    <w:rsid w:val="009E480A"/>
    <w:rsid w:val="00A01FA1"/>
    <w:rsid w:val="00A379C5"/>
    <w:rsid w:val="00A4411D"/>
    <w:rsid w:val="00A46E30"/>
    <w:rsid w:val="00A47E65"/>
    <w:rsid w:val="00A522C8"/>
    <w:rsid w:val="00A55007"/>
    <w:rsid w:val="00A67B78"/>
    <w:rsid w:val="00A94E76"/>
    <w:rsid w:val="00A96D20"/>
    <w:rsid w:val="00AC2370"/>
    <w:rsid w:val="00AC7A76"/>
    <w:rsid w:val="00AD04EF"/>
    <w:rsid w:val="00AD183F"/>
    <w:rsid w:val="00AD23CD"/>
    <w:rsid w:val="00AD3086"/>
    <w:rsid w:val="00AF1C44"/>
    <w:rsid w:val="00B30E43"/>
    <w:rsid w:val="00B41955"/>
    <w:rsid w:val="00B41BE0"/>
    <w:rsid w:val="00B42ADD"/>
    <w:rsid w:val="00B439E2"/>
    <w:rsid w:val="00B460EB"/>
    <w:rsid w:val="00B555DD"/>
    <w:rsid w:val="00B56893"/>
    <w:rsid w:val="00B77A11"/>
    <w:rsid w:val="00B80D43"/>
    <w:rsid w:val="00B80F05"/>
    <w:rsid w:val="00B95D4C"/>
    <w:rsid w:val="00BC0357"/>
    <w:rsid w:val="00BD761A"/>
    <w:rsid w:val="00BF092E"/>
    <w:rsid w:val="00C20DF9"/>
    <w:rsid w:val="00C256DB"/>
    <w:rsid w:val="00C34F82"/>
    <w:rsid w:val="00C359BF"/>
    <w:rsid w:val="00C4450F"/>
    <w:rsid w:val="00C510EB"/>
    <w:rsid w:val="00C574A8"/>
    <w:rsid w:val="00C74675"/>
    <w:rsid w:val="00C831C7"/>
    <w:rsid w:val="00C87EAF"/>
    <w:rsid w:val="00CA2E6C"/>
    <w:rsid w:val="00CB4E9B"/>
    <w:rsid w:val="00CB4FE1"/>
    <w:rsid w:val="00D12F7D"/>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4295"/>
    <w:rsid w:val="00DE66D3"/>
    <w:rsid w:val="00DF4F23"/>
    <w:rsid w:val="00E05979"/>
    <w:rsid w:val="00E251AE"/>
    <w:rsid w:val="00E254BF"/>
    <w:rsid w:val="00E30F84"/>
    <w:rsid w:val="00E31290"/>
    <w:rsid w:val="00E34240"/>
    <w:rsid w:val="00E57D2C"/>
    <w:rsid w:val="00E626E9"/>
    <w:rsid w:val="00E9055E"/>
    <w:rsid w:val="00E9245E"/>
    <w:rsid w:val="00E92C31"/>
    <w:rsid w:val="00EA0B23"/>
    <w:rsid w:val="00EE375B"/>
    <w:rsid w:val="00EE467F"/>
    <w:rsid w:val="00F1081D"/>
    <w:rsid w:val="00F128B1"/>
    <w:rsid w:val="00F12E9F"/>
    <w:rsid w:val="00F4172D"/>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1"/>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1"/>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1"/>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1"/>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1"/>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1"/>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3.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4.xml><?xml version="1.0" encoding="utf-8"?>
<ds:datastoreItem xmlns:ds="http://schemas.openxmlformats.org/officeDocument/2006/customXml" ds:itemID="{B64ABD77-34AA-481B-8CEB-82514DF0853C}"/>
</file>

<file path=docProps/app.xml><?xml version="1.0" encoding="utf-8"?>
<Properties xmlns="http://schemas.openxmlformats.org/officeDocument/2006/extended-properties" xmlns:vt="http://schemas.openxmlformats.org/officeDocument/2006/docPropsVTypes">
  <Template>Normal</Template>
  <TotalTime>26</TotalTime>
  <Pages>2</Pages>
  <Words>386</Words>
  <Characters>2542</Characters>
  <Application>Microsoft Office Word</Application>
  <DocSecurity>0</DocSecurity>
  <Lines>80</Lines>
  <Paragraphs>55</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13</cp:revision>
  <cp:lastPrinted>2019-07-15T06:03:00Z</cp:lastPrinted>
  <dcterms:created xsi:type="dcterms:W3CDTF">2025-11-12T07:51:00Z</dcterms:created>
  <dcterms:modified xsi:type="dcterms:W3CDTF">2026-01-06T10:55:00Z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